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063"/>
        <w:gridCol w:w="4236"/>
      </w:tblGrid>
      <w:tr w:rsidR="00AD2065" w:rsidTr="00396C07">
        <w:trPr>
          <w:trHeight w:val="915"/>
        </w:trPr>
        <w:tc>
          <w:tcPr>
            <w:tcW w:w="5644" w:type="dxa"/>
            <w:vAlign w:val="center"/>
          </w:tcPr>
          <w:p w:rsidR="00907E0D" w:rsidRDefault="00AD2065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2014 </w:t>
            </w:r>
            <w:r w:rsidR="007B58E6">
              <w:rPr>
                <w:rFonts w:asciiTheme="majorHAnsi" w:eastAsiaTheme="majorEastAsia" w:hAnsiTheme="majorHAnsi" w:cstheme="majorBidi"/>
                <w:sz w:val="36"/>
                <w:szCs w:val="36"/>
              </w:rPr>
              <w:t>EKİM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Default="007B58E6" w:rsidP="007B58E6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10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Kasım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2014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EF4E45" w:rsidRDefault="00522A6C" w:rsidP="00AD2065">
      <w:pPr>
        <w:rPr>
          <w:b/>
        </w:rPr>
      </w:pPr>
      <w:r>
        <w:rPr>
          <w:b/>
        </w:rPr>
        <w:t>Eylül</w:t>
      </w:r>
      <w:r w:rsidR="00EF4E45" w:rsidRPr="00EF4E45">
        <w:rPr>
          <w:b/>
        </w:rPr>
        <w:t xml:space="preserve"> 2014 </w:t>
      </w:r>
      <w:r w:rsidR="007B58E6">
        <w:rPr>
          <w:b/>
        </w:rPr>
        <w:t>Sanayi Üretim Endeksi’ne</w:t>
      </w:r>
      <w:r w:rsidR="00EF4E45" w:rsidRPr="00EF4E45">
        <w:rPr>
          <w:b/>
        </w:rPr>
        <w:t xml:space="preserve"> ilişkin veriler Türkiye İstat</w:t>
      </w:r>
      <w:r w:rsidR="007441EB">
        <w:rPr>
          <w:b/>
        </w:rPr>
        <w:t xml:space="preserve">istik Kurumu (TÜİK) tarafından </w:t>
      </w:r>
      <w:r w:rsidR="007B58E6">
        <w:rPr>
          <w:b/>
        </w:rPr>
        <w:t>10</w:t>
      </w:r>
      <w:r w:rsidR="00EF4E45" w:rsidRPr="00EF4E45">
        <w:rPr>
          <w:b/>
        </w:rPr>
        <w:t xml:space="preserve"> </w:t>
      </w:r>
      <w:r w:rsidR="007441EB">
        <w:rPr>
          <w:b/>
        </w:rPr>
        <w:t>Kasım</w:t>
      </w:r>
      <w:r w:rsidR="00EF4E45" w:rsidRPr="00EF4E45">
        <w:rPr>
          <w:b/>
        </w:rPr>
        <w:t xml:space="preserve"> 2014 tarihinde yayımlandı.</w:t>
      </w:r>
    </w:p>
    <w:p w:rsidR="00DF5145" w:rsidRDefault="00EF4E45" w:rsidP="00EF4E45">
      <w:r>
        <w:t xml:space="preserve">TÜİK tarafından aylık yayımlanan </w:t>
      </w:r>
      <w:r w:rsidR="007B58E6" w:rsidRPr="007B58E6">
        <w:t>Sanayi Üretim Endeksi</w:t>
      </w:r>
      <w:r>
        <w:t>,</w:t>
      </w:r>
      <w:r w:rsidR="007B58E6">
        <w:t xml:space="preserve"> Türkiye’deki sanayi kuruluşlarının toplam üretiminin</w:t>
      </w:r>
      <w:r>
        <w:t xml:space="preserve"> zaman içindeki değişim</w:t>
      </w:r>
      <w:r w:rsidR="007B58E6">
        <w:t>i</w:t>
      </w:r>
      <w:r>
        <w:t xml:space="preserve"> hakkında bilgi vermektedir.</w:t>
      </w:r>
      <w:r w:rsidR="00522A6C" w:rsidRPr="00C04441">
        <w:rPr>
          <w:rStyle w:val="DipnotBavurusu"/>
        </w:rPr>
        <w:footnoteReference w:id="1"/>
      </w:r>
    </w:p>
    <w:p w:rsidR="00FD0F6A" w:rsidRPr="006D330B" w:rsidRDefault="00FD0F6A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Aylara göre </w:t>
      </w:r>
      <w:r w:rsidRPr="006D330B">
        <w:rPr>
          <w:rFonts w:eastAsia="Times New Roman" w:cs="Times New Roman"/>
          <w:b/>
          <w:bCs/>
          <w:kern w:val="36"/>
          <w:sz w:val="24"/>
          <w:szCs w:val="24"/>
        </w:rPr>
        <w:t>sanayi üretim endeksi</w:t>
      </w: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 (mevsim ve takvim etkilerinden arındırılmış, 2010=100)</w:t>
      </w:r>
    </w:p>
    <w:tbl>
      <w:tblPr>
        <w:tblStyle w:val="AkKlavuz-Vurgu11"/>
        <w:tblW w:w="10480" w:type="dxa"/>
        <w:tblLayout w:type="fixed"/>
        <w:tblLook w:val="04A0"/>
      </w:tblPr>
      <w:tblGrid>
        <w:gridCol w:w="685"/>
        <w:gridCol w:w="723"/>
        <w:gridCol w:w="709"/>
        <w:gridCol w:w="708"/>
        <w:gridCol w:w="709"/>
        <w:gridCol w:w="851"/>
        <w:gridCol w:w="992"/>
        <w:gridCol w:w="992"/>
        <w:gridCol w:w="992"/>
        <w:gridCol w:w="709"/>
        <w:gridCol w:w="709"/>
        <w:gridCol w:w="850"/>
        <w:gridCol w:w="851"/>
      </w:tblGrid>
      <w:tr w:rsidR="00FD0F6A" w:rsidRPr="00812EFC" w:rsidTr="00F561EC">
        <w:trPr>
          <w:cnfStyle w:val="100000000000"/>
          <w:trHeight w:val="222"/>
        </w:trPr>
        <w:tc>
          <w:tcPr>
            <w:cnfStyle w:val="001000000000"/>
            <w:tcW w:w="685" w:type="dxa"/>
            <w:noWrap/>
            <w:vAlign w:val="center"/>
            <w:hideMark/>
          </w:tcPr>
          <w:p w:rsidR="00FD0F6A" w:rsidRPr="00812EFC" w:rsidRDefault="00FD0F6A" w:rsidP="00F561EC">
            <w:pPr>
              <w:jc w:val="center"/>
              <w:rPr>
                <w:rFonts w:asciiTheme="minorHAnsi" w:eastAsia="Times New Roman" w:hAnsiTheme="minorHAnsi" w:cs="Arial"/>
                <w:sz w:val="20"/>
              </w:rPr>
            </w:pPr>
          </w:p>
        </w:tc>
        <w:tc>
          <w:tcPr>
            <w:tcW w:w="723" w:type="dxa"/>
            <w:vAlign w:val="center"/>
          </w:tcPr>
          <w:p w:rsidR="00FD0F6A" w:rsidRPr="00F076CE" w:rsidRDefault="00FD0F6A" w:rsidP="00F561EC">
            <w:pPr>
              <w:jc w:val="center"/>
              <w:cnfStyle w:val="100000000000"/>
              <w:rPr>
                <w:rFonts w:asciiTheme="minorHAnsi" w:eastAsia="Times New Roman" w:hAnsiTheme="minorHAnsi" w:cs="Arial"/>
                <w:sz w:val="20"/>
              </w:rPr>
            </w:pPr>
            <w:r w:rsidRPr="00F076CE">
              <w:rPr>
                <w:rFonts w:asciiTheme="minorHAnsi" w:eastAsia="Times New Roman" w:hAnsiTheme="minorHAnsi" w:cs="Arial"/>
                <w:sz w:val="20"/>
              </w:rPr>
              <w:t>Ocak</w:t>
            </w:r>
          </w:p>
        </w:tc>
        <w:tc>
          <w:tcPr>
            <w:tcW w:w="709" w:type="dxa"/>
            <w:vAlign w:val="center"/>
          </w:tcPr>
          <w:p w:rsidR="00FD0F6A" w:rsidRPr="00F076CE" w:rsidRDefault="00FD0F6A" w:rsidP="00F561EC">
            <w:pPr>
              <w:jc w:val="center"/>
              <w:cnfStyle w:val="100000000000"/>
              <w:rPr>
                <w:rFonts w:asciiTheme="minorHAnsi" w:eastAsia="Times New Roman" w:hAnsiTheme="minorHAnsi" w:cs="Arial"/>
                <w:sz w:val="20"/>
              </w:rPr>
            </w:pPr>
            <w:r w:rsidRPr="00F076CE">
              <w:rPr>
                <w:rFonts w:asciiTheme="minorHAnsi" w:eastAsia="Times New Roman" w:hAnsiTheme="minorHAnsi" w:cs="Arial"/>
                <w:sz w:val="20"/>
              </w:rPr>
              <w:t>Şubat</w:t>
            </w:r>
          </w:p>
        </w:tc>
        <w:tc>
          <w:tcPr>
            <w:tcW w:w="708" w:type="dxa"/>
            <w:vAlign w:val="center"/>
          </w:tcPr>
          <w:p w:rsidR="00FD0F6A" w:rsidRPr="00F076CE" w:rsidRDefault="00FD0F6A" w:rsidP="00F561EC">
            <w:pPr>
              <w:jc w:val="center"/>
              <w:cnfStyle w:val="100000000000"/>
              <w:rPr>
                <w:rFonts w:asciiTheme="minorHAnsi" w:eastAsia="Times New Roman" w:hAnsiTheme="minorHAnsi" w:cs="Arial"/>
                <w:sz w:val="20"/>
              </w:rPr>
            </w:pPr>
            <w:r w:rsidRPr="00F076CE">
              <w:rPr>
                <w:rFonts w:asciiTheme="minorHAnsi" w:eastAsia="Times New Roman" w:hAnsiTheme="minorHAnsi" w:cs="Arial"/>
                <w:sz w:val="20"/>
              </w:rPr>
              <w:t>Mart</w:t>
            </w:r>
          </w:p>
        </w:tc>
        <w:tc>
          <w:tcPr>
            <w:tcW w:w="709" w:type="dxa"/>
            <w:vAlign w:val="center"/>
          </w:tcPr>
          <w:p w:rsidR="00FD0F6A" w:rsidRPr="00F076CE" w:rsidRDefault="00FD0F6A" w:rsidP="00F561EC">
            <w:pPr>
              <w:jc w:val="center"/>
              <w:cnfStyle w:val="100000000000"/>
              <w:rPr>
                <w:rFonts w:asciiTheme="minorHAnsi" w:eastAsia="Times New Roman" w:hAnsiTheme="minorHAnsi" w:cs="Arial"/>
                <w:sz w:val="20"/>
              </w:rPr>
            </w:pPr>
            <w:r w:rsidRPr="00F076CE">
              <w:rPr>
                <w:rFonts w:asciiTheme="minorHAnsi" w:eastAsia="Times New Roman" w:hAnsiTheme="minorHAnsi" w:cs="Arial"/>
                <w:sz w:val="20"/>
              </w:rPr>
              <w:t>Nisan</w:t>
            </w:r>
          </w:p>
        </w:tc>
        <w:tc>
          <w:tcPr>
            <w:tcW w:w="851" w:type="dxa"/>
            <w:vAlign w:val="center"/>
          </w:tcPr>
          <w:p w:rsidR="00FD0F6A" w:rsidRPr="00F076CE" w:rsidRDefault="00FD0F6A" w:rsidP="00F561EC">
            <w:pPr>
              <w:jc w:val="center"/>
              <w:cnfStyle w:val="100000000000"/>
              <w:rPr>
                <w:rFonts w:asciiTheme="minorHAnsi" w:eastAsia="Times New Roman" w:hAnsiTheme="minorHAnsi" w:cs="Arial"/>
                <w:sz w:val="20"/>
              </w:rPr>
            </w:pPr>
            <w:r w:rsidRPr="00F076CE">
              <w:rPr>
                <w:rFonts w:asciiTheme="minorHAnsi" w:eastAsia="Times New Roman" w:hAnsiTheme="minorHAnsi" w:cs="Arial"/>
                <w:sz w:val="20"/>
              </w:rPr>
              <w:t>Mayıs</w:t>
            </w:r>
          </w:p>
        </w:tc>
        <w:tc>
          <w:tcPr>
            <w:tcW w:w="992" w:type="dxa"/>
            <w:vAlign w:val="center"/>
          </w:tcPr>
          <w:p w:rsidR="00FD0F6A" w:rsidRPr="00F076CE" w:rsidRDefault="00FD0F6A" w:rsidP="00F561EC">
            <w:pPr>
              <w:jc w:val="center"/>
              <w:cnfStyle w:val="100000000000"/>
              <w:rPr>
                <w:rFonts w:asciiTheme="minorHAnsi" w:eastAsia="Times New Roman" w:hAnsiTheme="minorHAnsi" w:cs="Arial"/>
                <w:sz w:val="20"/>
              </w:rPr>
            </w:pPr>
            <w:r w:rsidRPr="00F076CE">
              <w:rPr>
                <w:rFonts w:asciiTheme="minorHAnsi" w:eastAsia="Times New Roman" w:hAnsiTheme="minorHAnsi" w:cs="Arial"/>
                <w:sz w:val="20"/>
              </w:rPr>
              <w:t>Haziran</w:t>
            </w:r>
          </w:p>
        </w:tc>
        <w:tc>
          <w:tcPr>
            <w:tcW w:w="992" w:type="dxa"/>
          </w:tcPr>
          <w:p w:rsidR="00FD0F6A" w:rsidRPr="00F076CE" w:rsidRDefault="00FD0F6A" w:rsidP="00F561EC">
            <w:pPr>
              <w:jc w:val="center"/>
              <w:cnfStyle w:val="100000000000"/>
              <w:rPr>
                <w:rFonts w:asciiTheme="minorHAnsi" w:eastAsia="Times New Roman" w:hAnsiTheme="minorHAnsi" w:cs="Arial"/>
                <w:sz w:val="20"/>
              </w:rPr>
            </w:pPr>
            <w:r w:rsidRPr="00F076CE">
              <w:rPr>
                <w:rFonts w:asciiTheme="minorHAnsi" w:eastAsia="Times New Roman" w:hAnsiTheme="minorHAnsi" w:cs="Arial"/>
                <w:sz w:val="20"/>
              </w:rPr>
              <w:t>Temmuz</w:t>
            </w:r>
          </w:p>
        </w:tc>
        <w:tc>
          <w:tcPr>
            <w:tcW w:w="992" w:type="dxa"/>
            <w:noWrap/>
            <w:vAlign w:val="center"/>
            <w:hideMark/>
          </w:tcPr>
          <w:p w:rsidR="00FD0F6A" w:rsidRPr="00812EFC" w:rsidRDefault="00FD0F6A" w:rsidP="00F561EC">
            <w:pPr>
              <w:jc w:val="center"/>
              <w:cnfStyle w:val="100000000000"/>
              <w:rPr>
                <w:rFonts w:asciiTheme="minorHAnsi" w:eastAsia="Times New Roman" w:hAnsiTheme="minorHAnsi" w:cs="Arial"/>
                <w:sz w:val="20"/>
              </w:rPr>
            </w:pPr>
            <w:r w:rsidRPr="00812EFC">
              <w:rPr>
                <w:rFonts w:asciiTheme="minorHAnsi" w:eastAsia="Times New Roman" w:hAnsiTheme="minorHAnsi" w:cs="Arial"/>
                <w:sz w:val="20"/>
              </w:rPr>
              <w:t>Ağustos</w:t>
            </w:r>
          </w:p>
        </w:tc>
        <w:tc>
          <w:tcPr>
            <w:tcW w:w="709" w:type="dxa"/>
          </w:tcPr>
          <w:p w:rsidR="00FD0F6A" w:rsidRPr="00F076CE" w:rsidRDefault="00FD0F6A" w:rsidP="00F561EC">
            <w:pPr>
              <w:jc w:val="center"/>
              <w:cnfStyle w:val="100000000000"/>
              <w:rPr>
                <w:rFonts w:asciiTheme="minorHAnsi" w:eastAsia="Times New Roman" w:hAnsiTheme="minorHAnsi" w:cs="Arial"/>
                <w:sz w:val="20"/>
              </w:rPr>
            </w:pPr>
            <w:r w:rsidRPr="00F076CE">
              <w:rPr>
                <w:rFonts w:asciiTheme="minorHAnsi" w:eastAsia="Times New Roman" w:hAnsiTheme="minorHAnsi" w:cs="Arial"/>
                <w:sz w:val="20"/>
              </w:rPr>
              <w:t>Eylül</w:t>
            </w:r>
          </w:p>
        </w:tc>
        <w:tc>
          <w:tcPr>
            <w:tcW w:w="709" w:type="dxa"/>
          </w:tcPr>
          <w:p w:rsidR="00FD0F6A" w:rsidRPr="00F076CE" w:rsidRDefault="00FD0F6A" w:rsidP="00F561EC">
            <w:pPr>
              <w:jc w:val="center"/>
              <w:cnfStyle w:val="100000000000"/>
              <w:rPr>
                <w:rFonts w:asciiTheme="minorHAnsi" w:eastAsia="Times New Roman" w:hAnsiTheme="minorHAnsi" w:cs="Arial"/>
                <w:sz w:val="20"/>
              </w:rPr>
            </w:pPr>
            <w:r w:rsidRPr="00F076CE">
              <w:rPr>
                <w:rFonts w:asciiTheme="minorHAnsi" w:eastAsia="Times New Roman" w:hAnsiTheme="minorHAnsi" w:cs="Arial"/>
                <w:sz w:val="20"/>
              </w:rPr>
              <w:t>Ekim</w:t>
            </w:r>
          </w:p>
        </w:tc>
        <w:tc>
          <w:tcPr>
            <w:tcW w:w="850" w:type="dxa"/>
          </w:tcPr>
          <w:p w:rsidR="00FD0F6A" w:rsidRPr="00F076CE" w:rsidRDefault="00FD0F6A" w:rsidP="00F561EC">
            <w:pPr>
              <w:jc w:val="center"/>
              <w:cnfStyle w:val="100000000000"/>
              <w:rPr>
                <w:rFonts w:asciiTheme="minorHAnsi" w:eastAsia="Times New Roman" w:hAnsiTheme="minorHAnsi" w:cs="Arial"/>
                <w:sz w:val="20"/>
              </w:rPr>
            </w:pPr>
            <w:r w:rsidRPr="00F076CE">
              <w:rPr>
                <w:rFonts w:asciiTheme="minorHAnsi" w:eastAsia="Times New Roman" w:hAnsiTheme="minorHAnsi" w:cs="Arial"/>
                <w:sz w:val="20"/>
              </w:rPr>
              <w:t>Kasım</w:t>
            </w:r>
          </w:p>
        </w:tc>
        <w:tc>
          <w:tcPr>
            <w:tcW w:w="851" w:type="dxa"/>
          </w:tcPr>
          <w:p w:rsidR="00FD0F6A" w:rsidRPr="00F076CE" w:rsidRDefault="00FD0F6A" w:rsidP="00F561EC">
            <w:pPr>
              <w:jc w:val="center"/>
              <w:cnfStyle w:val="100000000000"/>
              <w:rPr>
                <w:rFonts w:asciiTheme="minorHAnsi" w:eastAsia="Times New Roman" w:hAnsiTheme="minorHAnsi" w:cs="Arial"/>
                <w:sz w:val="20"/>
              </w:rPr>
            </w:pPr>
            <w:r w:rsidRPr="00F076CE">
              <w:rPr>
                <w:rFonts w:asciiTheme="minorHAnsi" w:eastAsia="Times New Roman" w:hAnsiTheme="minorHAnsi" w:cs="Arial"/>
                <w:sz w:val="20"/>
              </w:rPr>
              <w:t>Aralık</w:t>
            </w:r>
          </w:p>
        </w:tc>
      </w:tr>
      <w:tr w:rsidR="00FD0F6A" w:rsidRPr="00812EFC" w:rsidTr="00F561EC">
        <w:trPr>
          <w:cnfStyle w:val="000000100000"/>
          <w:trHeight w:val="255"/>
        </w:trPr>
        <w:tc>
          <w:tcPr>
            <w:cnfStyle w:val="001000000000"/>
            <w:tcW w:w="685" w:type="dxa"/>
            <w:noWrap/>
            <w:hideMark/>
          </w:tcPr>
          <w:p w:rsidR="00FD0F6A" w:rsidRPr="00812EFC" w:rsidRDefault="00FD0F6A" w:rsidP="00F561EC">
            <w:pPr>
              <w:jc w:val="center"/>
              <w:rPr>
                <w:rFonts w:asciiTheme="minorHAnsi" w:eastAsia="Times New Roman" w:hAnsiTheme="minorHAnsi" w:cs="Arial"/>
                <w:sz w:val="20"/>
              </w:rPr>
            </w:pPr>
            <w:r w:rsidRPr="00812EFC">
              <w:rPr>
                <w:rFonts w:asciiTheme="minorHAnsi" w:eastAsia="Times New Roman" w:hAnsiTheme="minorHAnsi" w:cs="Arial"/>
                <w:sz w:val="20"/>
              </w:rPr>
              <w:t>2013</w:t>
            </w:r>
          </w:p>
        </w:tc>
        <w:tc>
          <w:tcPr>
            <w:tcW w:w="723" w:type="dxa"/>
            <w:vAlign w:val="center"/>
          </w:tcPr>
          <w:p w:rsidR="00FD0F6A" w:rsidRPr="007D0D09" w:rsidRDefault="00FD0F6A" w:rsidP="00F561EC">
            <w:pPr>
              <w:jc w:val="right"/>
              <w:cnfStyle w:val="000000100000"/>
              <w:rPr>
                <w:rFonts w:eastAsia="Times New Roman" w:cs="Arial"/>
                <w:sz w:val="20"/>
                <w:szCs w:val="24"/>
              </w:rPr>
            </w:pPr>
            <w:r w:rsidRPr="007D0D09">
              <w:rPr>
                <w:rFonts w:eastAsia="Times New Roman" w:cs="Arial"/>
                <w:sz w:val="20"/>
                <w:szCs w:val="24"/>
              </w:rPr>
              <w:t>113,0</w:t>
            </w:r>
          </w:p>
        </w:tc>
        <w:tc>
          <w:tcPr>
            <w:tcW w:w="709" w:type="dxa"/>
            <w:vAlign w:val="center"/>
          </w:tcPr>
          <w:p w:rsidR="00FD0F6A" w:rsidRPr="007D0D09" w:rsidRDefault="00FD0F6A" w:rsidP="00F561EC">
            <w:pPr>
              <w:jc w:val="right"/>
              <w:cnfStyle w:val="000000100000"/>
              <w:rPr>
                <w:rFonts w:eastAsia="Times New Roman" w:cs="Arial"/>
                <w:sz w:val="20"/>
                <w:szCs w:val="24"/>
              </w:rPr>
            </w:pPr>
            <w:r w:rsidRPr="007D0D09">
              <w:rPr>
                <w:rFonts w:eastAsia="Times New Roman" w:cs="Arial"/>
                <w:sz w:val="20"/>
                <w:szCs w:val="24"/>
              </w:rPr>
              <w:t>115,2</w:t>
            </w:r>
          </w:p>
        </w:tc>
        <w:tc>
          <w:tcPr>
            <w:tcW w:w="708" w:type="dxa"/>
            <w:vAlign w:val="center"/>
          </w:tcPr>
          <w:p w:rsidR="00FD0F6A" w:rsidRPr="007D0D09" w:rsidRDefault="00FD0F6A" w:rsidP="00F561EC">
            <w:pPr>
              <w:jc w:val="right"/>
              <w:cnfStyle w:val="000000100000"/>
              <w:rPr>
                <w:rFonts w:eastAsia="Times New Roman" w:cs="Arial"/>
                <w:sz w:val="20"/>
                <w:szCs w:val="24"/>
              </w:rPr>
            </w:pPr>
            <w:r w:rsidRPr="007D0D09">
              <w:rPr>
                <w:rFonts w:eastAsia="Times New Roman" w:cs="Arial"/>
                <w:sz w:val="20"/>
                <w:szCs w:val="24"/>
              </w:rPr>
              <w:t>115,0</w:t>
            </w:r>
          </w:p>
        </w:tc>
        <w:tc>
          <w:tcPr>
            <w:tcW w:w="709" w:type="dxa"/>
            <w:vAlign w:val="center"/>
          </w:tcPr>
          <w:p w:rsidR="00FD0F6A" w:rsidRPr="007D0D09" w:rsidRDefault="00FD0F6A" w:rsidP="00F561EC">
            <w:pPr>
              <w:jc w:val="right"/>
              <w:cnfStyle w:val="000000100000"/>
              <w:rPr>
                <w:rFonts w:eastAsia="Times New Roman" w:cs="Arial"/>
                <w:sz w:val="20"/>
                <w:szCs w:val="24"/>
              </w:rPr>
            </w:pPr>
            <w:r w:rsidRPr="007D0D09">
              <w:rPr>
                <w:rFonts w:eastAsia="Times New Roman" w:cs="Arial"/>
                <w:sz w:val="20"/>
                <w:szCs w:val="24"/>
              </w:rPr>
              <w:t>115,4</w:t>
            </w:r>
          </w:p>
        </w:tc>
        <w:tc>
          <w:tcPr>
            <w:tcW w:w="851" w:type="dxa"/>
            <w:vAlign w:val="center"/>
          </w:tcPr>
          <w:p w:rsidR="00FD0F6A" w:rsidRPr="007D0D09" w:rsidRDefault="00FD0F6A" w:rsidP="00F561EC">
            <w:pPr>
              <w:jc w:val="right"/>
              <w:cnfStyle w:val="000000100000"/>
              <w:rPr>
                <w:rFonts w:eastAsia="Times New Roman" w:cs="Arial"/>
                <w:sz w:val="20"/>
                <w:szCs w:val="24"/>
              </w:rPr>
            </w:pPr>
            <w:r w:rsidRPr="007D0D09">
              <w:rPr>
                <w:rFonts w:eastAsia="Times New Roman" w:cs="Arial"/>
                <w:sz w:val="20"/>
                <w:szCs w:val="24"/>
              </w:rPr>
              <w:t>114,8</w:t>
            </w:r>
          </w:p>
        </w:tc>
        <w:tc>
          <w:tcPr>
            <w:tcW w:w="992" w:type="dxa"/>
            <w:vAlign w:val="center"/>
          </w:tcPr>
          <w:p w:rsidR="00FD0F6A" w:rsidRPr="007D0D09" w:rsidRDefault="00FD0F6A" w:rsidP="00F561EC">
            <w:pPr>
              <w:jc w:val="right"/>
              <w:cnfStyle w:val="000000100000"/>
              <w:rPr>
                <w:rFonts w:eastAsia="Times New Roman" w:cs="Arial"/>
                <w:sz w:val="20"/>
                <w:szCs w:val="24"/>
              </w:rPr>
            </w:pPr>
            <w:r w:rsidRPr="007D0D09">
              <w:rPr>
                <w:rFonts w:eastAsia="Times New Roman" w:cs="Arial"/>
                <w:sz w:val="20"/>
                <w:szCs w:val="24"/>
              </w:rPr>
              <w:t>117,5</w:t>
            </w:r>
          </w:p>
        </w:tc>
        <w:tc>
          <w:tcPr>
            <w:tcW w:w="992" w:type="dxa"/>
            <w:vAlign w:val="center"/>
          </w:tcPr>
          <w:p w:rsidR="00FD0F6A" w:rsidRPr="007D0D09" w:rsidRDefault="00FD0F6A" w:rsidP="00F561EC">
            <w:pPr>
              <w:jc w:val="right"/>
              <w:cnfStyle w:val="000000100000"/>
              <w:rPr>
                <w:rFonts w:eastAsia="Times New Roman" w:cs="Arial"/>
                <w:sz w:val="20"/>
                <w:szCs w:val="24"/>
              </w:rPr>
            </w:pPr>
            <w:r w:rsidRPr="007D0D09">
              <w:rPr>
                <w:rFonts w:eastAsia="Times New Roman" w:cs="Arial"/>
                <w:sz w:val="20"/>
                <w:szCs w:val="24"/>
              </w:rPr>
              <w:t>117,5</w:t>
            </w:r>
          </w:p>
        </w:tc>
        <w:tc>
          <w:tcPr>
            <w:tcW w:w="992" w:type="dxa"/>
            <w:noWrap/>
            <w:vAlign w:val="center"/>
            <w:hideMark/>
          </w:tcPr>
          <w:p w:rsidR="00FD0F6A" w:rsidRPr="007D0D09" w:rsidRDefault="00FD0F6A" w:rsidP="00F561EC">
            <w:pPr>
              <w:jc w:val="right"/>
              <w:cnfStyle w:val="000000100000"/>
              <w:rPr>
                <w:rFonts w:eastAsia="Times New Roman" w:cs="Arial"/>
                <w:sz w:val="20"/>
                <w:szCs w:val="24"/>
              </w:rPr>
            </w:pPr>
            <w:r w:rsidRPr="007D0D09">
              <w:rPr>
                <w:rFonts w:eastAsia="Times New Roman" w:cs="Arial"/>
                <w:sz w:val="20"/>
                <w:szCs w:val="24"/>
              </w:rPr>
              <w:t>114,5</w:t>
            </w:r>
          </w:p>
        </w:tc>
        <w:tc>
          <w:tcPr>
            <w:tcW w:w="709" w:type="dxa"/>
            <w:vAlign w:val="center"/>
          </w:tcPr>
          <w:p w:rsidR="00FD0F6A" w:rsidRPr="007D0D09" w:rsidRDefault="00FD0F6A" w:rsidP="00F561EC">
            <w:pPr>
              <w:jc w:val="right"/>
              <w:cnfStyle w:val="000000100000"/>
              <w:rPr>
                <w:rFonts w:eastAsia="Times New Roman" w:cs="Arial"/>
                <w:sz w:val="20"/>
                <w:szCs w:val="24"/>
              </w:rPr>
            </w:pPr>
            <w:r w:rsidRPr="007D0D09">
              <w:rPr>
                <w:rFonts w:eastAsia="Times New Roman" w:cs="Arial"/>
                <w:sz w:val="20"/>
                <w:szCs w:val="24"/>
              </w:rPr>
              <w:t>120,1</w:t>
            </w:r>
          </w:p>
        </w:tc>
        <w:tc>
          <w:tcPr>
            <w:tcW w:w="709" w:type="dxa"/>
            <w:vAlign w:val="center"/>
          </w:tcPr>
          <w:p w:rsidR="00FD0F6A" w:rsidRPr="007D0D09" w:rsidRDefault="00FD0F6A" w:rsidP="00F561EC">
            <w:pPr>
              <w:jc w:val="right"/>
              <w:cnfStyle w:val="000000100000"/>
              <w:rPr>
                <w:rFonts w:eastAsia="Times New Roman" w:cs="Arial"/>
                <w:sz w:val="20"/>
                <w:szCs w:val="24"/>
              </w:rPr>
            </w:pPr>
            <w:r w:rsidRPr="007D0D09">
              <w:rPr>
                <w:rFonts w:eastAsia="Times New Roman" w:cs="Arial"/>
                <w:sz w:val="20"/>
                <w:szCs w:val="24"/>
              </w:rPr>
              <w:t>116,7</w:t>
            </w:r>
          </w:p>
        </w:tc>
        <w:tc>
          <w:tcPr>
            <w:tcW w:w="850" w:type="dxa"/>
            <w:vAlign w:val="center"/>
          </w:tcPr>
          <w:p w:rsidR="00FD0F6A" w:rsidRPr="007D0D09" w:rsidRDefault="00FD0F6A" w:rsidP="00F561EC">
            <w:pPr>
              <w:jc w:val="right"/>
              <w:cnfStyle w:val="000000100000"/>
              <w:rPr>
                <w:rFonts w:eastAsia="Times New Roman" w:cs="Arial"/>
                <w:sz w:val="20"/>
                <w:szCs w:val="24"/>
              </w:rPr>
            </w:pPr>
            <w:r w:rsidRPr="007D0D09">
              <w:rPr>
                <w:rFonts w:eastAsia="Times New Roman" w:cs="Arial"/>
                <w:sz w:val="20"/>
                <w:szCs w:val="24"/>
              </w:rPr>
              <w:t>119,1</w:t>
            </w:r>
          </w:p>
        </w:tc>
        <w:tc>
          <w:tcPr>
            <w:tcW w:w="851" w:type="dxa"/>
            <w:vAlign w:val="center"/>
          </w:tcPr>
          <w:p w:rsidR="00FD0F6A" w:rsidRPr="007D0D09" w:rsidRDefault="00FD0F6A" w:rsidP="00F561EC">
            <w:pPr>
              <w:jc w:val="right"/>
              <w:cnfStyle w:val="000000100000"/>
              <w:rPr>
                <w:rFonts w:eastAsia="Times New Roman" w:cs="Arial"/>
                <w:sz w:val="20"/>
                <w:szCs w:val="24"/>
              </w:rPr>
            </w:pPr>
            <w:r w:rsidRPr="007D0D09">
              <w:rPr>
                <w:rFonts w:eastAsia="Times New Roman" w:cs="Arial"/>
                <w:sz w:val="20"/>
                <w:szCs w:val="24"/>
              </w:rPr>
              <w:t>119,2</w:t>
            </w:r>
          </w:p>
        </w:tc>
      </w:tr>
      <w:tr w:rsidR="00FD0F6A" w:rsidRPr="00812EFC" w:rsidTr="00F561EC">
        <w:trPr>
          <w:cnfStyle w:val="000000010000"/>
          <w:trHeight w:val="255"/>
        </w:trPr>
        <w:tc>
          <w:tcPr>
            <w:cnfStyle w:val="001000000000"/>
            <w:tcW w:w="685" w:type="dxa"/>
            <w:noWrap/>
            <w:hideMark/>
          </w:tcPr>
          <w:p w:rsidR="00FD0F6A" w:rsidRPr="00812EFC" w:rsidRDefault="00FD0F6A" w:rsidP="00F561EC">
            <w:pPr>
              <w:jc w:val="center"/>
              <w:rPr>
                <w:rFonts w:asciiTheme="minorHAnsi" w:eastAsia="Times New Roman" w:hAnsiTheme="minorHAnsi" w:cs="Arial"/>
                <w:sz w:val="20"/>
              </w:rPr>
            </w:pPr>
            <w:r w:rsidRPr="00812EFC">
              <w:rPr>
                <w:rFonts w:asciiTheme="minorHAnsi" w:eastAsia="Times New Roman" w:hAnsiTheme="minorHAnsi" w:cs="Arial"/>
                <w:sz w:val="20"/>
              </w:rPr>
              <w:t>2014</w:t>
            </w:r>
          </w:p>
        </w:tc>
        <w:tc>
          <w:tcPr>
            <w:tcW w:w="723" w:type="dxa"/>
            <w:vAlign w:val="center"/>
          </w:tcPr>
          <w:p w:rsidR="00FD0F6A" w:rsidRPr="007D0D09" w:rsidRDefault="00FD0F6A" w:rsidP="00F561EC">
            <w:pPr>
              <w:jc w:val="right"/>
              <w:cnfStyle w:val="000000010000"/>
              <w:rPr>
                <w:rFonts w:eastAsia="Times New Roman" w:cs="Arial"/>
                <w:sz w:val="20"/>
                <w:szCs w:val="24"/>
              </w:rPr>
            </w:pPr>
            <w:r w:rsidRPr="007D0D09">
              <w:rPr>
                <w:rFonts w:eastAsia="Times New Roman" w:cs="Arial"/>
                <w:sz w:val="20"/>
                <w:szCs w:val="24"/>
              </w:rPr>
              <w:t>120,2</w:t>
            </w:r>
          </w:p>
        </w:tc>
        <w:tc>
          <w:tcPr>
            <w:tcW w:w="709" w:type="dxa"/>
            <w:vAlign w:val="center"/>
          </w:tcPr>
          <w:p w:rsidR="00FD0F6A" w:rsidRPr="007D0D09" w:rsidRDefault="00FD0F6A" w:rsidP="00F561EC">
            <w:pPr>
              <w:jc w:val="right"/>
              <w:cnfStyle w:val="000000010000"/>
              <w:rPr>
                <w:rFonts w:eastAsia="Times New Roman" w:cs="Arial"/>
                <w:sz w:val="20"/>
                <w:szCs w:val="24"/>
              </w:rPr>
            </w:pPr>
            <w:r w:rsidRPr="007D0D09">
              <w:rPr>
                <w:rFonts w:eastAsia="Times New Roman" w:cs="Arial"/>
                <w:sz w:val="20"/>
                <w:szCs w:val="24"/>
              </w:rPr>
              <w:t>119,8</w:t>
            </w:r>
          </w:p>
        </w:tc>
        <w:tc>
          <w:tcPr>
            <w:tcW w:w="708" w:type="dxa"/>
            <w:vAlign w:val="center"/>
          </w:tcPr>
          <w:p w:rsidR="00FD0F6A" w:rsidRPr="007D0D09" w:rsidRDefault="00FD0F6A" w:rsidP="00F561EC">
            <w:pPr>
              <w:jc w:val="right"/>
              <w:cnfStyle w:val="000000010000"/>
              <w:rPr>
                <w:rFonts w:eastAsia="Times New Roman" w:cs="Arial"/>
                <w:sz w:val="20"/>
                <w:szCs w:val="24"/>
              </w:rPr>
            </w:pPr>
            <w:r w:rsidRPr="007D0D09">
              <w:rPr>
                <w:rFonts w:eastAsia="Times New Roman" w:cs="Arial"/>
                <w:sz w:val="20"/>
                <w:szCs w:val="24"/>
              </w:rPr>
              <w:t>119,3</w:t>
            </w:r>
          </w:p>
        </w:tc>
        <w:tc>
          <w:tcPr>
            <w:tcW w:w="709" w:type="dxa"/>
            <w:vAlign w:val="center"/>
          </w:tcPr>
          <w:p w:rsidR="00FD0F6A" w:rsidRPr="007D0D09" w:rsidRDefault="00FD0F6A" w:rsidP="00F561EC">
            <w:pPr>
              <w:jc w:val="right"/>
              <w:cnfStyle w:val="000000010000"/>
              <w:rPr>
                <w:rFonts w:eastAsia="Times New Roman" w:cs="Arial"/>
                <w:sz w:val="20"/>
                <w:szCs w:val="24"/>
              </w:rPr>
            </w:pPr>
            <w:r w:rsidRPr="007D0D09">
              <w:rPr>
                <w:rFonts w:eastAsia="Times New Roman" w:cs="Arial"/>
                <w:sz w:val="20"/>
                <w:szCs w:val="24"/>
              </w:rPr>
              <w:t>120,5</w:t>
            </w:r>
          </w:p>
        </w:tc>
        <w:tc>
          <w:tcPr>
            <w:tcW w:w="851" w:type="dxa"/>
            <w:vAlign w:val="center"/>
          </w:tcPr>
          <w:p w:rsidR="00FD0F6A" w:rsidRPr="007D0D09" w:rsidRDefault="00FD0F6A" w:rsidP="00F561EC">
            <w:pPr>
              <w:jc w:val="right"/>
              <w:cnfStyle w:val="000000010000"/>
              <w:rPr>
                <w:rFonts w:eastAsia="Times New Roman" w:cs="Arial"/>
                <w:sz w:val="20"/>
                <w:szCs w:val="24"/>
              </w:rPr>
            </w:pPr>
            <w:r w:rsidRPr="007D0D09">
              <w:rPr>
                <w:rFonts w:eastAsia="Times New Roman" w:cs="Arial"/>
                <w:sz w:val="20"/>
                <w:szCs w:val="24"/>
              </w:rPr>
              <w:t>119,3</w:t>
            </w:r>
          </w:p>
        </w:tc>
        <w:tc>
          <w:tcPr>
            <w:tcW w:w="992" w:type="dxa"/>
            <w:vAlign w:val="center"/>
          </w:tcPr>
          <w:p w:rsidR="00FD0F6A" w:rsidRPr="007D0D09" w:rsidRDefault="00FD0F6A" w:rsidP="00F561EC">
            <w:pPr>
              <w:jc w:val="right"/>
              <w:cnfStyle w:val="000000010000"/>
              <w:rPr>
                <w:rFonts w:eastAsia="Times New Roman" w:cs="Arial"/>
                <w:sz w:val="20"/>
                <w:szCs w:val="24"/>
              </w:rPr>
            </w:pPr>
            <w:r w:rsidRPr="007D0D09">
              <w:rPr>
                <w:rFonts w:eastAsia="Times New Roman" w:cs="Arial"/>
                <w:sz w:val="20"/>
                <w:szCs w:val="24"/>
              </w:rPr>
              <w:t>119,9</w:t>
            </w:r>
          </w:p>
        </w:tc>
        <w:tc>
          <w:tcPr>
            <w:tcW w:w="992" w:type="dxa"/>
            <w:vAlign w:val="center"/>
          </w:tcPr>
          <w:p w:rsidR="00FD0F6A" w:rsidRPr="007D0D09" w:rsidRDefault="00FD0F6A" w:rsidP="00F561EC">
            <w:pPr>
              <w:jc w:val="right"/>
              <w:cnfStyle w:val="000000010000"/>
              <w:rPr>
                <w:rFonts w:eastAsia="Times New Roman" w:cs="Arial"/>
                <w:sz w:val="20"/>
                <w:szCs w:val="24"/>
              </w:rPr>
            </w:pPr>
            <w:r w:rsidRPr="007D0D09">
              <w:rPr>
                <w:rFonts w:eastAsia="Times New Roman" w:cs="Arial"/>
                <w:sz w:val="20"/>
                <w:szCs w:val="24"/>
              </w:rPr>
              <w:t>121,8</w:t>
            </w:r>
          </w:p>
        </w:tc>
        <w:tc>
          <w:tcPr>
            <w:tcW w:w="992" w:type="dxa"/>
            <w:noWrap/>
            <w:vAlign w:val="center"/>
            <w:hideMark/>
          </w:tcPr>
          <w:p w:rsidR="00FD0F6A" w:rsidRPr="007D0D09" w:rsidRDefault="00FD0F6A" w:rsidP="00F561EC">
            <w:pPr>
              <w:jc w:val="right"/>
              <w:cnfStyle w:val="000000010000"/>
              <w:rPr>
                <w:rFonts w:eastAsia="Times New Roman" w:cs="Arial"/>
                <w:sz w:val="20"/>
                <w:szCs w:val="24"/>
              </w:rPr>
            </w:pPr>
            <w:r w:rsidRPr="007D0D09">
              <w:rPr>
                <w:rFonts w:eastAsia="Times New Roman" w:cs="Arial"/>
                <w:sz w:val="20"/>
                <w:szCs w:val="24"/>
              </w:rPr>
              <w:t>120,5</w:t>
            </w:r>
          </w:p>
        </w:tc>
        <w:tc>
          <w:tcPr>
            <w:tcW w:w="709" w:type="dxa"/>
            <w:vAlign w:val="center"/>
          </w:tcPr>
          <w:p w:rsidR="00FD0F6A" w:rsidRPr="007D0D09" w:rsidRDefault="00FD0F6A" w:rsidP="00F561EC">
            <w:pPr>
              <w:jc w:val="right"/>
              <w:cnfStyle w:val="000000010000"/>
              <w:rPr>
                <w:rFonts w:eastAsia="Times New Roman" w:cs="Arial"/>
                <w:sz w:val="20"/>
                <w:szCs w:val="24"/>
              </w:rPr>
            </w:pPr>
            <w:r w:rsidRPr="007D0D09">
              <w:rPr>
                <w:rFonts w:eastAsia="Times New Roman" w:cs="Arial"/>
                <w:sz w:val="20"/>
                <w:szCs w:val="24"/>
              </w:rPr>
              <w:t>122,6</w:t>
            </w:r>
          </w:p>
        </w:tc>
        <w:tc>
          <w:tcPr>
            <w:tcW w:w="709" w:type="dxa"/>
            <w:vAlign w:val="center"/>
          </w:tcPr>
          <w:p w:rsidR="00FD0F6A" w:rsidRPr="00F076CE" w:rsidRDefault="00FD0F6A" w:rsidP="00F561EC">
            <w:pPr>
              <w:jc w:val="right"/>
              <w:cnfStyle w:val="000000010000"/>
              <w:rPr>
                <w:rFonts w:eastAsia="Times New Roman" w:cs="Arial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0F6A" w:rsidRPr="00F076CE" w:rsidRDefault="00FD0F6A" w:rsidP="00F561EC">
            <w:pPr>
              <w:jc w:val="right"/>
              <w:cnfStyle w:val="000000010000"/>
              <w:rPr>
                <w:rFonts w:eastAsia="Times New Roman" w:cs="Arial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D0F6A" w:rsidRPr="00F076CE" w:rsidRDefault="00FD0F6A" w:rsidP="00F561EC">
            <w:pPr>
              <w:jc w:val="right"/>
              <w:cnfStyle w:val="000000010000"/>
              <w:rPr>
                <w:rFonts w:eastAsia="Times New Roman" w:cs="Arial"/>
                <w:sz w:val="20"/>
                <w:szCs w:val="24"/>
              </w:rPr>
            </w:pPr>
          </w:p>
        </w:tc>
      </w:tr>
    </w:tbl>
    <w:p w:rsidR="00FD0F6A" w:rsidRDefault="00FD0F6A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 w:rsidRPr="007D0D09">
        <w:rPr>
          <w:rFonts w:eastAsia="Times New Roman" w:cs="Times New Roman"/>
          <w:b/>
          <w:bCs/>
          <w:noProof/>
          <w:kern w:val="36"/>
          <w:sz w:val="28"/>
          <w:szCs w:val="24"/>
        </w:rPr>
        <w:drawing>
          <wp:inline distT="0" distB="0" distL="0" distR="0">
            <wp:extent cx="4572000" cy="1990725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44CC" w:rsidRDefault="00522A6C" w:rsidP="00C144CC">
      <w:pPr>
        <w:jc w:val="both"/>
      </w:pPr>
      <w:r>
        <w:t>Eylül</w:t>
      </w:r>
      <w:r w:rsidR="00574C38" w:rsidRPr="00C144CC">
        <w:t xml:space="preserve"> ayında Türkiye (TR) </w:t>
      </w:r>
      <w:r w:rsidR="00574C38" w:rsidRPr="00C04441">
        <w:t xml:space="preserve">Geneli </w:t>
      </w:r>
      <w:r w:rsidR="007B58E6" w:rsidRPr="00C04441">
        <w:t>Sanayi Üretim Endeksi</w:t>
      </w:r>
      <w:r w:rsidR="00574C38" w:rsidRPr="00C04441">
        <w:t xml:space="preserve"> </w:t>
      </w:r>
      <w:r w:rsidR="00574C38" w:rsidRPr="00FD0F6A">
        <w:rPr>
          <w:b/>
          <w:u w:val="single"/>
        </w:rPr>
        <w:t>bir önceki aya (</w:t>
      </w:r>
      <w:r w:rsidRPr="00FD0F6A">
        <w:rPr>
          <w:b/>
          <w:u w:val="single"/>
        </w:rPr>
        <w:t>Ağustos</w:t>
      </w:r>
      <w:r w:rsidR="00574C38" w:rsidRPr="00FD0F6A">
        <w:rPr>
          <w:b/>
          <w:u w:val="single"/>
        </w:rPr>
        <w:t xml:space="preserve"> 2014) göre</w:t>
      </w:r>
      <w:r w:rsidR="00574C38" w:rsidRPr="00C04441">
        <w:t xml:space="preserve"> yüzde </w:t>
      </w:r>
      <w:r w:rsidR="00C04441" w:rsidRPr="00C04441">
        <w:t>1,7</w:t>
      </w:r>
      <w:r w:rsidR="00FD0F6A">
        <w:t xml:space="preserve"> artış göstermiştir</w:t>
      </w:r>
      <w:r w:rsidR="00574C38" w:rsidRPr="00C04441">
        <w:t xml:space="preserve">. </w:t>
      </w:r>
      <w:r>
        <w:t>Eylül</w:t>
      </w:r>
      <w:r w:rsidR="00574C38" w:rsidRPr="00C04441">
        <w:t xml:space="preserve"> (2014) ayında</w:t>
      </w:r>
      <w:r w:rsidR="00351561" w:rsidRPr="00C04441">
        <w:t xml:space="preserve"> önceki aya göre</w:t>
      </w:r>
      <w:r w:rsidR="00574C38" w:rsidRPr="00C04441">
        <w:t xml:space="preserve"> ana </w:t>
      </w:r>
      <w:r w:rsidR="007B58E6" w:rsidRPr="00C04441">
        <w:t>sanayi</w:t>
      </w:r>
      <w:r w:rsidR="00574C38" w:rsidRPr="00C04441">
        <w:t xml:space="preserve"> </w:t>
      </w:r>
      <w:r w:rsidR="00C04441">
        <w:t>sektörleri</w:t>
      </w:r>
      <w:r w:rsidR="00574C38" w:rsidRPr="00C04441">
        <w:t xml:space="preserve"> itibariyle en yüksek artış yüzde </w:t>
      </w:r>
      <w:r w:rsidR="00C04441" w:rsidRPr="00C04441">
        <w:t>2,6</w:t>
      </w:r>
      <w:r w:rsidR="00574C38" w:rsidRPr="00C04441">
        <w:t xml:space="preserve"> ile</w:t>
      </w:r>
      <w:r w:rsidR="007B58E6" w:rsidRPr="00C04441">
        <w:t xml:space="preserve"> </w:t>
      </w:r>
      <w:r w:rsidR="00C04441" w:rsidRPr="00C04441">
        <w:t>madencilik ve taşocakçılığı</w:t>
      </w:r>
      <w:r w:rsidR="00C04441">
        <w:t>nda</w:t>
      </w:r>
      <w:r w:rsidR="00C04441" w:rsidRPr="00C04441">
        <w:t xml:space="preserve"> </w:t>
      </w:r>
      <w:r w:rsidR="00574C38" w:rsidRPr="00C04441">
        <w:t xml:space="preserve">yaşanırken, bunu yüzde </w:t>
      </w:r>
      <w:r w:rsidR="00C04441" w:rsidRPr="00C04441">
        <w:t>1,9</w:t>
      </w:r>
      <w:r w:rsidR="00574C38" w:rsidRPr="00C04441">
        <w:t xml:space="preserve"> artışla </w:t>
      </w:r>
      <w:r w:rsidR="00C04441" w:rsidRPr="00C04441">
        <w:t xml:space="preserve">imalat sanayi </w:t>
      </w:r>
      <w:r w:rsidR="00574C38" w:rsidRPr="00C04441">
        <w:t xml:space="preserve">ve yüzde </w:t>
      </w:r>
      <w:r w:rsidR="00C04441" w:rsidRPr="00C04441">
        <w:t>0,1</w:t>
      </w:r>
      <w:r w:rsidR="00574C38" w:rsidRPr="00C04441">
        <w:t xml:space="preserve"> artışla </w:t>
      </w:r>
      <w:r w:rsidR="007B58E6" w:rsidRPr="00C04441">
        <w:t xml:space="preserve">elektrik, gaz, buhar ve iklimlendirme üretimi ve dağıtımı </w:t>
      </w:r>
      <w:r w:rsidR="00574C38" w:rsidRPr="00C04441">
        <w:t>takip etmektedir.</w:t>
      </w:r>
      <w:r w:rsidR="00574C38" w:rsidRPr="00C144CC">
        <w:t xml:space="preserve"> </w:t>
      </w:r>
    </w:p>
    <w:p w:rsidR="007B58E6" w:rsidRPr="00C144CC" w:rsidRDefault="00C04441" w:rsidP="007B58E6">
      <w:pPr>
        <w:jc w:val="both"/>
      </w:pPr>
      <w:r>
        <w:t>Ana sanayi gruplarına</w:t>
      </w:r>
      <w:r w:rsidR="007B58E6" w:rsidRPr="00C04441">
        <w:t xml:space="preserve"> bakıldığında artışta dayanıklı tüketim </w:t>
      </w:r>
      <w:r w:rsidRPr="00C04441">
        <w:t xml:space="preserve">ve ara </w:t>
      </w:r>
      <w:r w:rsidR="007B58E6" w:rsidRPr="00C04441">
        <w:t>mallarındaki yük</w:t>
      </w:r>
      <w:r>
        <w:t>s</w:t>
      </w:r>
      <w:r w:rsidR="007B58E6" w:rsidRPr="00C04441">
        <w:t>elişin etkisi oldu</w:t>
      </w:r>
      <w:r w:rsidR="00FD0F6A">
        <w:t>ğu görülmektedir</w:t>
      </w:r>
      <w:r w:rsidR="007B58E6" w:rsidRPr="00C04441">
        <w:t>.</w:t>
      </w:r>
    </w:p>
    <w:p w:rsidR="00517288" w:rsidRDefault="00517288" w:rsidP="00517288">
      <w:pPr>
        <w:jc w:val="both"/>
      </w:pPr>
      <w:r>
        <w:t xml:space="preserve">İmalat sanayinin alt sektörlerinde geçen aya göre </w:t>
      </w:r>
      <w:r w:rsidR="00923FD3">
        <w:t xml:space="preserve">en </w:t>
      </w:r>
      <w:r w:rsidR="00923FD3" w:rsidRPr="009F0A83">
        <w:t>fazla artış</w:t>
      </w:r>
      <w:r w:rsidR="00923FD3">
        <w:t xml:space="preserve"> diğer ulaşım araçlarının imalatı (%30,4) sektöründe gerçekleşti. Bunu,</w:t>
      </w:r>
      <w:r w:rsidR="00923FD3" w:rsidRPr="00A705F6">
        <w:t xml:space="preserve"> %9,0 ile elektrikli teçhizat imalatı, %7,5 ile temel eczacılık ürünlerinin ve eczacılığa ilişkin</w:t>
      </w:r>
      <w:r w:rsidR="00FD0F6A">
        <w:t xml:space="preserve"> malzemelerin imalatı takip etmiştir</w:t>
      </w:r>
      <w:r w:rsidR="00923FD3">
        <w:t xml:space="preserve">. Bu sürede en hızlı düşüş ise </w:t>
      </w:r>
      <w:r w:rsidR="00923FD3" w:rsidRPr="00A705F6">
        <w:t xml:space="preserve">%8,2 ile makine ve </w:t>
      </w:r>
      <w:proofErr w:type="gramStart"/>
      <w:r w:rsidR="00923FD3" w:rsidRPr="00A705F6">
        <w:t>ekipmanların</w:t>
      </w:r>
      <w:proofErr w:type="gramEnd"/>
      <w:r w:rsidR="00923FD3" w:rsidRPr="00A705F6">
        <w:t xml:space="preserve"> kurulumu ve onar</w:t>
      </w:r>
      <w:r w:rsidR="00FD0F6A">
        <w:t>ımında gerçekleşmiştir</w:t>
      </w:r>
      <w:r>
        <w:t xml:space="preserve">. İmalat Sanayi Kapasite Kullanım Oranları (KKO), </w:t>
      </w:r>
      <w:r w:rsidR="00522A6C">
        <w:t>Eylül</w:t>
      </w:r>
      <w:r>
        <w:t xml:space="preserve">de geçen aya göre </w:t>
      </w:r>
      <w:r w:rsidR="001243A0">
        <w:t>aynı kalarak yüzde 74</w:t>
      </w:r>
      <w:r w:rsidR="00FD0F6A">
        <w:t xml:space="preserve"> değerini almıştır</w:t>
      </w:r>
      <w:r w:rsidR="00160C8F">
        <w:t>.</w:t>
      </w:r>
    </w:p>
    <w:p w:rsidR="00160C8F" w:rsidRDefault="00160C8F" w:rsidP="00160C8F">
      <w:pPr>
        <w:jc w:val="both"/>
      </w:pPr>
      <w:r w:rsidRPr="00C04441">
        <w:t xml:space="preserve">Endeks </w:t>
      </w:r>
      <w:r w:rsidRPr="00FD0F6A">
        <w:rPr>
          <w:b/>
          <w:u w:val="single"/>
        </w:rPr>
        <w:t>bir önceki yılın aynı ayına göre</w:t>
      </w:r>
      <w:r w:rsidRPr="00C04441">
        <w:t xml:space="preserve"> yüzde </w:t>
      </w:r>
      <w:r w:rsidR="00C04441" w:rsidRPr="00C04441">
        <w:t>2,2</w:t>
      </w:r>
      <w:r w:rsidRPr="00C04441">
        <w:t xml:space="preserve"> oranında artış göstermiştir. </w:t>
      </w:r>
      <w:r w:rsidR="00522A6C">
        <w:t>Eylül</w:t>
      </w:r>
      <w:r w:rsidRPr="00C04441">
        <w:t xml:space="preserve"> (2014) ayında önceki</w:t>
      </w:r>
      <w:r>
        <w:t xml:space="preserve"> </w:t>
      </w:r>
      <w:r w:rsidRPr="00C04441">
        <w:t xml:space="preserve">yıla göre ana sanayi </w:t>
      </w:r>
      <w:r w:rsidR="00C04441" w:rsidRPr="00C04441">
        <w:t>sektörleri</w:t>
      </w:r>
      <w:r w:rsidRPr="00C04441">
        <w:t xml:space="preserve"> itibariyle en yüksek artış yüzde </w:t>
      </w:r>
      <w:r w:rsidR="00C04441" w:rsidRPr="00C04441">
        <w:t>8,9</w:t>
      </w:r>
      <w:r w:rsidRPr="00C04441">
        <w:t xml:space="preserve"> ile </w:t>
      </w:r>
      <w:r w:rsidR="00C04441" w:rsidRPr="00C04441">
        <w:t xml:space="preserve">madencilik ve taşocakçılığında </w:t>
      </w:r>
      <w:r w:rsidRPr="00C04441">
        <w:t xml:space="preserve">yaşanırken, bunu yüzde </w:t>
      </w:r>
      <w:r w:rsidR="00C04441" w:rsidRPr="00C04441">
        <w:t>6,4</w:t>
      </w:r>
      <w:r w:rsidRPr="00C04441">
        <w:t xml:space="preserve"> artışla </w:t>
      </w:r>
      <w:r w:rsidR="00C04441" w:rsidRPr="00C04441">
        <w:t xml:space="preserve">elektrik, gaz, buhar ve iklimlendirme üretimi ve dağıtımı </w:t>
      </w:r>
      <w:r w:rsidRPr="00C04441">
        <w:t xml:space="preserve">ve yüzde </w:t>
      </w:r>
      <w:r w:rsidR="00C04441" w:rsidRPr="00C04441">
        <w:t>1,1</w:t>
      </w:r>
      <w:r w:rsidRPr="00C04441">
        <w:t xml:space="preserve"> artışla </w:t>
      </w:r>
      <w:r w:rsidR="00C04441" w:rsidRPr="00C04441">
        <w:t xml:space="preserve">imalat sanayi </w:t>
      </w:r>
      <w:r w:rsidRPr="00C04441">
        <w:t>takip etmektedir.</w:t>
      </w:r>
      <w:r w:rsidRPr="00C144CC">
        <w:t xml:space="preserve"> </w:t>
      </w:r>
    </w:p>
    <w:p w:rsidR="00160C8F" w:rsidRDefault="00C04441" w:rsidP="00160C8F">
      <w:pPr>
        <w:jc w:val="both"/>
      </w:pPr>
      <w:r w:rsidRPr="00C04441">
        <w:t>Ana sanayi gruplarına</w:t>
      </w:r>
      <w:r w:rsidR="00160C8F" w:rsidRPr="00C04441">
        <w:t xml:space="preserve"> bakıldığında</w:t>
      </w:r>
      <w:r w:rsidRPr="00C04441">
        <w:t xml:space="preserve"> yıllık</w:t>
      </w:r>
      <w:r w:rsidR="00160C8F" w:rsidRPr="00C04441">
        <w:t xml:space="preserve"> artışta </w:t>
      </w:r>
      <w:r w:rsidRPr="00C04441">
        <w:t>enerji ve sermaye malı</w:t>
      </w:r>
      <w:r w:rsidR="00160C8F" w:rsidRPr="00C04441">
        <w:t xml:space="preserve"> mallarındaki yük</w:t>
      </w:r>
      <w:r w:rsidR="00A705F6">
        <w:t>s</w:t>
      </w:r>
      <w:r w:rsidR="00160C8F" w:rsidRPr="00C04441">
        <w:t>elişi</w:t>
      </w:r>
      <w:r w:rsidRPr="00C04441">
        <w:t xml:space="preserve">n </w:t>
      </w:r>
      <w:r w:rsidR="00FD0F6A">
        <w:t>etkisi olmuştur</w:t>
      </w:r>
      <w:r w:rsidR="00160C8F" w:rsidRPr="00C04441">
        <w:t>.</w:t>
      </w:r>
      <w:r w:rsidR="00677B0D">
        <w:t xml:space="preserve"> </w:t>
      </w:r>
      <w:r w:rsidR="00160C8F">
        <w:t xml:space="preserve">İmalat Sanayi Kapasite Kullanım Oranları (KKO), </w:t>
      </w:r>
      <w:r w:rsidR="00522A6C">
        <w:t>Eylül</w:t>
      </w:r>
      <w:r w:rsidR="00160C8F">
        <w:t xml:space="preserve">de geçen yıla göre </w:t>
      </w:r>
      <w:r w:rsidR="001243A0">
        <w:t>yüzde 1,4 azalarak yüzde 74</w:t>
      </w:r>
      <w:r w:rsidR="00160C8F">
        <w:t xml:space="preserve"> değerini </w:t>
      </w:r>
      <w:r w:rsidR="00FD0F6A">
        <w:t>almıştır</w:t>
      </w:r>
      <w:r w:rsidR="00160C8F">
        <w:t>.</w:t>
      </w:r>
    </w:p>
    <w:p w:rsidR="00FD0F6A" w:rsidRDefault="00FD0F6A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6D330B">
        <w:rPr>
          <w:rFonts w:eastAsia="Times New Roman" w:cs="Times New Roman"/>
          <w:b/>
          <w:bCs/>
          <w:kern w:val="36"/>
          <w:sz w:val="24"/>
          <w:szCs w:val="24"/>
        </w:rPr>
        <w:t xml:space="preserve">Yıllara göre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Eylül</w:t>
      </w:r>
      <w:r w:rsidRPr="006D330B">
        <w:rPr>
          <w:rFonts w:eastAsia="Times New Roman" w:cs="Times New Roman"/>
          <w:b/>
          <w:bCs/>
          <w:kern w:val="36"/>
          <w:sz w:val="24"/>
          <w:szCs w:val="24"/>
        </w:rPr>
        <w:t xml:space="preserve"> ayları itibariyle sanayi üretim endeksi</w:t>
      </w: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 (takvim etkisinden arındırılmış, 2010=100)</w:t>
      </w:r>
    </w:p>
    <w:tbl>
      <w:tblPr>
        <w:tblStyle w:val="AkKlavuz-Vurgu11"/>
        <w:tblW w:w="3534" w:type="dxa"/>
        <w:tblLayout w:type="fixed"/>
        <w:tblLook w:val="04A0"/>
      </w:tblPr>
      <w:tblGrid>
        <w:gridCol w:w="685"/>
        <w:gridCol w:w="723"/>
        <w:gridCol w:w="709"/>
        <w:gridCol w:w="708"/>
        <w:gridCol w:w="709"/>
      </w:tblGrid>
      <w:tr w:rsidR="00FD0F6A" w:rsidRPr="00812EFC" w:rsidTr="00FD0F6A">
        <w:trPr>
          <w:cnfStyle w:val="100000000000"/>
          <w:trHeight w:val="222"/>
        </w:trPr>
        <w:tc>
          <w:tcPr>
            <w:cnfStyle w:val="001000000000"/>
            <w:tcW w:w="685" w:type="dxa"/>
            <w:noWrap/>
            <w:vAlign w:val="center"/>
            <w:hideMark/>
          </w:tcPr>
          <w:p w:rsidR="00FD0F6A" w:rsidRPr="00812EFC" w:rsidRDefault="00FD0F6A" w:rsidP="00F561EC">
            <w:pPr>
              <w:jc w:val="center"/>
              <w:rPr>
                <w:rFonts w:asciiTheme="minorHAnsi" w:eastAsia="Times New Roman" w:hAnsiTheme="minorHAnsi" w:cs="Arial"/>
                <w:sz w:val="20"/>
              </w:rPr>
            </w:pPr>
          </w:p>
        </w:tc>
        <w:tc>
          <w:tcPr>
            <w:tcW w:w="723" w:type="dxa"/>
            <w:vAlign w:val="center"/>
          </w:tcPr>
          <w:p w:rsidR="00FD0F6A" w:rsidRPr="00F076CE" w:rsidRDefault="00FD0F6A" w:rsidP="00F561EC">
            <w:pPr>
              <w:jc w:val="center"/>
              <w:cnfStyle w:val="100000000000"/>
              <w:rPr>
                <w:rFonts w:asciiTheme="minorHAnsi" w:eastAsia="Times New Roman" w:hAnsiTheme="minorHAnsi" w:cs="Arial"/>
                <w:sz w:val="20"/>
              </w:rPr>
            </w:pPr>
            <w:r>
              <w:rPr>
                <w:rFonts w:asciiTheme="minorHAnsi" w:eastAsia="Times New Roman" w:hAnsiTheme="minorHAnsi" w:cs="Arial"/>
                <w:sz w:val="20"/>
              </w:rPr>
              <w:t>2011</w:t>
            </w:r>
          </w:p>
        </w:tc>
        <w:tc>
          <w:tcPr>
            <w:tcW w:w="709" w:type="dxa"/>
            <w:vAlign w:val="center"/>
          </w:tcPr>
          <w:p w:rsidR="00FD0F6A" w:rsidRPr="00F076CE" w:rsidRDefault="00FD0F6A" w:rsidP="00F561EC">
            <w:pPr>
              <w:jc w:val="center"/>
              <w:cnfStyle w:val="100000000000"/>
              <w:rPr>
                <w:rFonts w:asciiTheme="minorHAnsi" w:eastAsia="Times New Roman" w:hAnsiTheme="minorHAnsi" w:cs="Arial"/>
                <w:sz w:val="20"/>
              </w:rPr>
            </w:pPr>
            <w:r>
              <w:rPr>
                <w:rFonts w:asciiTheme="minorHAnsi" w:eastAsia="Times New Roman" w:hAnsiTheme="minorHAnsi" w:cs="Arial"/>
                <w:sz w:val="20"/>
              </w:rPr>
              <w:t>2012</w:t>
            </w:r>
          </w:p>
        </w:tc>
        <w:tc>
          <w:tcPr>
            <w:tcW w:w="708" w:type="dxa"/>
            <w:vAlign w:val="center"/>
          </w:tcPr>
          <w:p w:rsidR="00FD0F6A" w:rsidRPr="00F076CE" w:rsidRDefault="00FD0F6A" w:rsidP="00F561EC">
            <w:pPr>
              <w:jc w:val="center"/>
              <w:cnfStyle w:val="100000000000"/>
              <w:rPr>
                <w:rFonts w:asciiTheme="minorHAnsi" w:eastAsia="Times New Roman" w:hAnsiTheme="minorHAnsi" w:cs="Arial"/>
                <w:sz w:val="20"/>
              </w:rPr>
            </w:pPr>
            <w:r>
              <w:rPr>
                <w:rFonts w:asciiTheme="minorHAnsi" w:eastAsia="Times New Roman" w:hAnsiTheme="minorHAnsi" w:cs="Arial"/>
                <w:sz w:val="20"/>
              </w:rPr>
              <w:t>2013</w:t>
            </w:r>
          </w:p>
        </w:tc>
        <w:tc>
          <w:tcPr>
            <w:tcW w:w="709" w:type="dxa"/>
            <w:vAlign w:val="center"/>
          </w:tcPr>
          <w:p w:rsidR="00FD0F6A" w:rsidRPr="00F076CE" w:rsidRDefault="00FD0F6A" w:rsidP="00F561EC">
            <w:pPr>
              <w:jc w:val="center"/>
              <w:cnfStyle w:val="100000000000"/>
              <w:rPr>
                <w:rFonts w:asciiTheme="minorHAnsi" w:eastAsia="Times New Roman" w:hAnsiTheme="minorHAnsi" w:cs="Arial"/>
                <w:sz w:val="20"/>
              </w:rPr>
            </w:pPr>
            <w:r>
              <w:rPr>
                <w:rFonts w:asciiTheme="minorHAnsi" w:eastAsia="Times New Roman" w:hAnsiTheme="minorHAnsi" w:cs="Arial"/>
                <w:sz w:val="20"/>
              </w:rPr>
              <w:t>2014</w:t>
            </w:r>
          </w:p>
        </w:tc>
      </w:tr>
      <w:tr w:rsidR="00FD0F6A" w:rsidRPr="00812EFC" w:rsidTr="00FD0F6A">
        <w:trPr>
          <w:cnfStyle w:val="000000100000"/>
          <w:trHeight w:val="255"/>
        </w:trPr>
        <w:tc>
          <w:tcPr>
            <w:cnfStyle w:val="001000000000"/>
            <w:tcW w:w="685" w:type="dxa"/>
            <w:noWrap/>
            <w:hideMark/>
          </w:tcPr>
          <w:p w:rsidR="00FD0F6A" w:rsidRPr="00812EFC" w:rsidRDefault="00FD0F6A" w:rsidP="00F561EC">
            <w:pPr>
              <w:jc w:val="center"/>
              <w:rPr>
                <w:rFonts w:asciiTheme="minorHAnsi" w:eastAsia="Times New Roman" w:hAnsiTheme="minorHAnsi" w:cs="Arial"/>
                <w:sz w:val="20"/>
              </w:rPr>
            </w:pPr>
            <w:r>
              <w:rPr>
                <w:rFonts w:asciiTheme="minorHAnsi" w:eastAsia="Times New Roman" w:hAnsiTheme="minorHAnsi" w:cs="Arial"/>
                <w:sz w:val="20"/>
              </w:rPr>
              <w:t>Eylül</w:t>
            </w:r>
          </w:p>
        </w:tc>
        <w:tc>
          <w:tcPr>
            <w:tcW w:w="723" w:type="dxa"/>
            <w:vAlign w:val="center"/>
          </w:tcPr>
          <w:p w:rsidR="00FD0F6A" w:rsidRPr="007D0D09" w:rsidRDefault="00FD0F6A" w:rsidP="00F561EC">
            <w:pPr>
              <w:jc w:val="right"/>
              <w:cnfStyle w:val="000000100000"/>
              <w:rPr>
                <w:rFonts w:eastAsia="Times New Roman" w:cs="Arial"/>
                <w:sz w:val="20"/>
                <w:szCs w:val="24"/>
              </w:rPr>
            </w:pPr>
            <w:r>
              <w:rPr>
                <w:rFonts w:eastAsia="Times New Roman" w:cs="Arial"/>
                <w:sz w:val="20"/>
                <w:szCs w:val="24"/>
              </w:rPr>
              <w:t>111,2</w:t>
            </w:r>
          </w:p>
        </w:tc>
        <w:tc>
          <w:tcPr>
            <w:tcW w:w="709" w:type="dxa"/>
            <w:vAlign w:val="center"/>
          </w:tcPr>
          <w:p w:rsidR="00FD0F6A" w:rsidRPr="007D0D09" w:rsidRDefault="00FD0F6A" w:rsidP="00F561EC">
            <w:pPr>
              <w:jc w:val="right"/>
              <w:cnfStyle w:val="000000100000"/>
              <w:rPr>
                <w:rFonts w:eastAsia="Times New Roman" w:cs="Arial"/>
                <w:sz w:val="20"/>
                <w:szCs w:val="24"/>
              </w:rPr>
            </w:pPr>
            <w:r w:rsidRPr="007D0D09">
              <w:rPr>
                <w:rFonts w:eastAsia="Times New Roman" w:cs="Arial"/>
                <w:sz w:val="20"/>
                <w:szCs w:val="24"/>
              </w:rPr>
              <w:t>115,</w:t>
            </w:r>
            <w:r>
              <w:rPr>
                <w:rFonts w:eastAsia="Times New Roman" w:cs="Arial"/>
                <w:sz w:val="20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FD0F6A" w:rsidRPr="007D0D09" w:rsidRDefault="00FD0F6A" w:rsidP="00F561EC">
            <w:pPr>
              <w:jc w:val="right"/>
              <w:cnfStyle w:val="000000100000"/>
              <w:rPr>
                <w:rFonts w:eastAsia="Times New Roman" w:cs="Arial"/>
                <w:sz w:val="20"/>
                <w:szCs w:val="24"/>
              </w:rPr>
            </w:pPr>
            <w:r>
              <w:rPr>
                <w:rFonts w:eastAsia="Times New Roman" w:cs="Arial"/>
                <w:sz w:val="20"/>
                <w:szCs w:val="24"/>
              </w:rPr>
              <w:t>123,2</w:t>
            </w:r>
          </w:p>
        </w:tc>
        <w:tc>
          <w:tcPr>
            <w:tcW w:w="709" w:type="dxa"/>
            <w:vAlign w:val="center"/>
          </w:tcPr>
          <w:p w:rsidR="00FD0F6A" w:rsidRPr="007D0D09" w:rsidRDefault="00FD0F6A" w:rsidP="00F561EC">
            <w:pPr>
              <w:jc w:val="right"/>
              <w:cnfStyle w:val="000000100000"/>
              <w:rPr>
                <w:rFonts w:eastAsia="Times New Roman" w:cs="Arial"/>
                <w:sz w:val="20"/>
                <w:szCs w:val="24"/>
              </w:rPr>
            </w:pPr>
            <w:r>
              <w:rPr>
                <w:rFonts w:eastAsia="Times New Roman" w:cs="Arial"/>
                <w:sz w:val="20"/>
                <w:szCs w:val="24"/>
              </w:rPr>
              <w:t>125,9</w:t>
            </w:r>
          </w:p>
        </w:tc>
      </w:tr>
    </w:tbl>
    <w:p w:rsidR="00FD0F6A" w:rsidRDefault="00FD0F6A" w:rsidP="00FD0F6A">
      <w:pPr>
        <w:jc w:val="both"/>
        <w:outlineLvl w:val="1"/>
        <w:rPr>
          <w:rFonts w:eastAsia="Times New Roman" w:cs="Times New Roman"/>
          <w:b/>
          <w:bCs/>
          <w:i/>
          <w:kern w:val="36"/>
          <w:sz w:val="28"/>
          <w:szCs w:val="24"/>
        </w:rPr>
      </w:pPr>
      <w:r w:rsidRPr="00DA3CE2">
        <w:rPr>
          <w:rFonts w:eastAsia="Times New Roman" w:cs="Times New Roman"/>
          <w:b/>
          <w:bCs/>
          <w:i/>
          <w:noProof/>
          <w:kern w:val="36"/>
          <w:sz w:val="28"/>
          <w:szCs w:val="24"/>
        </w:rPr>
        <w:drawing>
          <wp:inline distT="0" distB="0" distL="0" distR="0">
            <wp:extent cx="5791200" cy="2276475"/>
            <wp:effectExtent l="0" t="0" r="0" b="0"/>
            <wp:docPr id="4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A6E86" w:rsidRPr="009A6E86" w:rsidRDefault="009A6E86" w:rsidP="00160C8F">
      <w:pPr>
        <w:jc w:val="both"/>
      </w:pPr>
      <w:r w:rsidRPr="00A705F6">
        <w:t>Sanayi üretiminde</w:t>
      </w:r>
      <w:r w:rsidR="00A705F6">
        <w:t xml:space="preserve"> bir önceki çeyreğe göre yüzde 1,5</w:t>
      </w:r>
      <w:r w:rsidRPr="00A705F6">
        <w:t xml:space="preserve"> </w:t>
      </w:r>
      <w:r w:rsidR="00A705F6" w:rsidRPr="00A705F6">
        <w:t>geçen yılın aynı çeyreğine göre yüzde 3,4’lük bir artış</w:t>
      </w:r>
      <w:r w:rsidRPr="00A705F6">
        <w:t xml:space="preserve"> söz konusudur. </w:t>
      </w:r>
      <w:r w:rsidR="00522A6C">
        <w:t>Eylül</w:t>
      </w:r>
      <w:r w:rsidRPr="00A705F6">
        <w:t xml:space="preserve"> ayının sanayi üretim endeks verilerinin </w:t>
      </w:r>
      <w:r w:rsidR="00522A6C">
        <w:t>3</w:t>
      </w:r>
      <w:r w:rsidRPr="00A705F6">
        <w:t xml:space="preserve">. Çeyrek büyüme verilerini </w:t>
      </w:r>
      <w:r w:rsidR="00A705F6" w:rsidRPr="00A705F6">
        <w:t>olumlu</w:t>
      </w:r>
      <w:r w:rsidRPr="00A705F6">
        <w:t xml:space="preserve"> etkilemesi beklenmektedir.</w:t>
      </w:r>
    </w:p>
    <w:tbl>
      <w:tblPr>
        <w:tblStyle w:val="TabloKlavuzu"/>
        <w:tblW w:w="0" w:type="auto"/>
        <w:tblLook w:val="04A0"/>
      </w:tblPr>
      <w:tblGrid>
        <w:gridCol w:w="4110"/>
        <w:gridCol w:w="1514"/>
        <w:gridCol w:w="639"/>
        <w:gridCol w:w="1289"/>
        <w:gridCol w:w="778"/>
        <w:gridCol w:w="1210"/>
      </w:tblGrid>
      <w:tr w:rsidR="00160C8F" w:rsidRPr="00160C8F" w:rsidTr="00DB1389">
        <w:trPr>
          <w:gridAfter w:val="1"/>
          <w:wAfter w:w="1210" w:type="dxa"/>
          <w:trHeight w:val="264"/>
        </w:trPr>
        <w:tc>
          <w:tcPr>
            <w:tcW w:w="4110" w:type="dxa"/>
            <w:noWrap/>
            <w:hideMark/>
          </w:tcPr>
          <w:p w:rsidR="00160C8F" w:rsidRPr="00160C8F" w:rsidRDefault="00160C8F" w:rsidP="00160C8F">
            <w:pPr>
              <w:jc w:val="both"/>
            </w:pPr>
            <w:r w:rsidRPr="00160C8F">
              <w:rPr>
                <w:b/>
              </w:rPr>
              <w:t>Tablo 1: Sanayi Üretim Endeksi Büyüme Oranları</w:t>
            </w:r>
            <w:r>
              <w:rPr>
                <w:b/>
              </w:rPr>
              <w:t xml:space="preserve">,  </w:t>
            </w:r>
            <w:r w:rsidR="00522A6C">
              <w:rPr>
                <w:b/>
              </w:rPr>
              <w:t>Eylül</w:t>
            </w:r>
            <w:r>
              <w:rPr>
                <w:b/>
              </w:rPr>
              <w:t xml:space="preserve"> 2014</w:t>
            </w:r>
            <w:r w:rsidRPr="00160C8F">
              <w:t> </w:t>
            </w:r>
          </w:p>
        </w:tc>
        <w:tc>
          <w:tcPr>
            <w:tcW w:w="2153" w:type="dxa"/>
            <w:gridSpan w:val="2"/>
            <w:noWrap/>
            <w:hideMark/>
          </w:tcPr>
          <w:p w:rsidR="00160C8F" w:rsidRPr="00160C8F" w:rsidRDefault="00160C8F" w:rsidP="00160C8F">
            <w:pPr>
              <w:jc w:val="both"/>
            </w:pPr>
            <w:r w:rsidRPr="00160C8F">
              <w:t>Önceki Aya Göre</w:t>
            </w:r>
            <w:r w:rsidR="00923FD3">
              <w:t xml:space="preserve"> (%)</w:t>
            </w:r>
          </w:p>
        </w:tc>
        <w:tc>
          <w:tcPr>
            <w:tcW w:w="2067" w:type="dxa"/>
            <w:gridSpan w:val="2"/>
            <w:noWrap/>
            <w:hideMark/>
          </w:tcPr>
          <w:p w:rsidR="00160C8F" w:rsidRPr="00160C8F" w:rsidRDefault="00160C8F" w:rsidP="00160C8F">
            <w:pPr>
              <w:jc w:val="both"/>
            </w:pPr>
            <w:r w:rsidRPr="00160C8F">
              <w:t>Önceki Yıla Göre</w:t>
            </w:r>
            <w:r w:rsidR="00923FD3">
              <w:t xml:space="preserve"> (%)</w:t>
            </w:r>
          </w:p>
        </w:tc>
      </w:tr>
      <w:tr w:rsidR="00160C8F" w:rsidRPr="00160C8F" w:rsidTr="00DB1389">
        <w:trPr>
          <w:gridAfter w:val="1"/>
          <w:wAfter w:w="1210" w:type="dxa"/>
          <w:trHeight w:val="264"/>
        </w:trPr>
        <w:tc>
          <w:tcPr>
            <w:tcW w:w="4110" w:type="dxa"/>
            <w:noWrap/>
            <w:hideMark/>
          </w:tcPr>
          <w:p w:rsidR="00160C8F" w:rsidRPr="00160C8F" w:rsidRDefault="00160C8F" w:rsidP="00160C8F">
            <w:pPr>
              <w:jc w:val="both"/>
            </w:pPr>
            <w:r w:rsidRPr="00160C8F">
              <w:t>Ara Malı</w:t>
            </w:r>
          </w:p>
        </w:tc>
        <w:tc>
          <w:tcPr>
            <w:tcW w:w="2153" w:type="dxa"/>
            <w:gridSpan w:val="2"/>
            <w:noWrap/>
            <w:hideMark/>
          </w:tcPr>
          <w:p w:rsidR="00160C8F" w:rsidRPr="00160C8F" w:rsidRDefault="00923FD3" w:rsidP="00923FD3">
            <w:pPr>
              <w:jc w:val="center"/>
            </w:pPr>
            <w:r>
              <w:t>2,4</w:t>
            </w:r>
          </w:p>
        </w:tc>
        <w:tc>
          <w:tcPr>
            <w:tcW w:w="2067" w:type="dxa"/>
            <w:gridSpan w:val="2"/>
            <w:noWrap/>
            <w:hideMark/>
          </w:tcPr>
          <w:p w:rsidR="00160C8F" w:rsidRPr="00160C8F" w:rsidRDefault="00923FD3" w:rsidP="00923FD3">
            <w:pPr>
              <w:jc w:val="center"/>
            </w:pPr>
            <w:r>
              <w:t>0,9</w:t>
            </w:r>
          </w:p>
        </w:tc>
      </w:tr>
      <w:tr w:rsidR="00160C8F" w:rsidRPr="00160C8F" w:rsidTr="00DB1389">
        <w:trPr>
          <w:gridAfter w:val="1"/>
          <w:wAfter w:w="1210" w:type="dxa"/>
          <w:trHeight w:val="264"/>
        </w:trPr>
        <w:tc>
          <w:tcPr>
            <w:tcW w:w="4110" w:type="dxa"/>
            <w:noWrap/>
            <w:hideMark/>
          </w:tcPr>
          <w:p w:rsidR="00160C8F" w:rsidRPr="00160C8F" w:rsidRDefault="00160C8F" w:rsidP="00160C8F">
            <w:pPr>
              <w:jc w:val="both"/>
            </w:pPr>
            <w:r w:rsidRPr="00160C8F">
              <w:t>Dayanıklı Tüketim Malı</w:t>
            </w:r>
          </w:p>
        </w:tc>
        <w:tc>
          <w:tcPr>
            <w:tcW w:w="2153" w:type="dxa"/>
            <w:gridSpan w:val="2"/>
            <w:noWrap/>
            <w:hideMark/>
          </w:tcPr>
          <w:p w:rsidR="00160C8F" w:rsidRPr="00160C8F" w:rsidRDefault="00923FD3" w:rsidP="00923FD3">
            <w:pPr>
              <w:jc w:val="center"/>
            </w:pPr>
            <w:r>
              <w:t>6,9</w:t>
            </w:r>
          </w:p>
        </w:tc>
        <w:tc>
          <w:tcPr>
            <w:tcW w:w="2067" w:type="dxa"/>
            <w:gridSpan w:val="2"/>
            <w:noWrap/>
            <w:hideMark/>
          </w:tcPr>
          <w:p w:rsidR="00160C8F" w:rsidRPr="00160C8F" w:rsidRDefault="00923FD3" w:rsidP="00923FD3">
            <w:pPr>
              <w:jc w:val="center"/>
            </w:pPr>
            <w:r>
              <w:t>2,1</w:t>
            </w:r>
          </w:p>
        </w:tc>
      </w:tr>
      <w:tr w:rsidR="00160C8F" w:rsidRPr="00160C8F" w:rsidTr="00DB1389">
        <w:trPr>
          <w:gridAfter w:val="1"/>
          <w:wAfter w:w="1210" w:type="dxa"/>
          <w:trHeight w:val="264"/>
        </w:trPr>
        <w:tc>
          <w:tcPr>
            <w:tcW w:w="4110" w:type="dxa"/>
            <w:noWrap/>
            <w:hideMark/>
          </w:tcPr>
          <w:p w:rsidR="00160C8F" w:rsidRPr="00160C8F" w:rsidRDefault="00160C8F" w:rsidP="00160C8F">
            <w:pPr>
              <w:jc w:val="both"/>
            </w:pPr>
            <w:r w:rsidRPr="00160C8F">
              <w:t>Dayanıksız Tüketim Malı</w:t>
            </w:r>
          </w:p>
        </w:tc>
        <w:tc>
          <w:tcPr>
            <w:tcW w:w="2153" w:type="dxa"/>
            <w:gridSpan w:val="2"/>
            <w:noWrap/>
            <w:hideMark/>
          </w:tcPr>
          <w:p w:rsidR="00160C8F" w:rsidRPr="00160C8F" w:rsidRDefault="00923FD3" w:rsidP="00923FD3">
            <w:pPr>
              <w:jc w:val="center"/>
            </w:pPr>
            <w:r>
              <w:t>-0,2</w:t>
            </w:r>
          </w:p>
        </w:tc>
        <w:tc>
          <w:tcPr>
            <w:tcW w:w="2067" w:type="dxa"/>
            <w:gridSpan w:val="2"/>
            <w:noWrap/>
            <w:hideMark/>
          </w:tcPr>
          <w:p w:rsidR="00160C8F" w:rsidRPr="00160C8F" w:rsidRDefault="00923FD3" w:rsidP="00923FD3">
            <w:pPr>
              <w:jc w:val="center"/>
            </w:pPr>
            <w:r>
              <w:t>1,0</w:t>
            </w:r>
          </w:p>
        </w:tc>
      </w:tr>
      <w:tr w:rsidR="00160C8F" w:rsidRPr="00160C8F" w:rsidTr="00DB1389">
        <w:trPr>
          <w:gridAfter w:val="1"/>
          <w:wAfter w:w="1210" w:type="dxa"/>
          <w:trHeight w:val="264"/>
        </w:trPr>
        <w:tc>
          <w:tcPr>
            <w:tcW w:w="4110" w:type="dxa"/>
            <w:noWrap/>
            <w:hideMark/>
          </w:tcPr>
          <w:p w:rsidR="00160C8F" w:rsidRPr="00160C8F" w:rsidRDefault="00160C8F" w:rsidP="00160C8F">
            <w:pPr>
              <w:jc w:val="both"/>
            </w:pPr>
            <w:r w:rsidRPr="00160C8F">
              <w:t>Enerji</w:t>
            </w:r>
          </w:p>
        </w:tc>
        <w:tc>
          <w:tcPr>
            <w:tcW w:w="2153" w:type="dxa"/>
            <w:gridSpan w:val="2"/>
            <w:noWrap/>
            <w:hideMark/>
          </w:tcPr>
          <w:p w:rsidR="00160C8F" w:rsidRPr="00160C8F" w:rsidRDefault="00923FD3" w:rsidP="00923FD3">
            <w:pPr>
              <w:jc w:val="center"/>
            </w:pPr>
            <w:r>
              <w:t>1,5</w:t>
            </w:r>
          </w:p>
        </w:tc>
        <w:tc>
          <w:tcPr>
            <w:tcW w:w="2067" w:type="dxa"/>
            <w:gridSpan w:val="2"/>
            <w:noWrap/>
            <w:hideMark/>
          </w:tcPr>
          <w:p w:rsidR="00160C8F" w:rsidRPr="00160C8F" w:rsidRDefault="00923FD3" w:rsidP="00923FD3">
            <w:pPr>
              <w:jc w:val="center"/>
            </w:pPr>
            <w:r>
              <w:t>5,7</w:t>
            </w:r>
          </w:p>
        </w:tc>
      </w:tr>
      <w:tr w:rsidR="00160C8F" w:rsidRPr="00160C8F" w:rsidTr="00DB1389">
        <w:trPr>
          <w:gridAfter w:val="1"/>
          <w:wAfter w:w="1210" w:type="dxa"/>
          <w:trHeight w:val="264"/>
        </w:trPr>
        <w:tc>
          <w:tcPr>
            <w:tcW w:w="4110" w:type="dxa"/>
            <w:noWrap/>
            <w:hideMark/>
          </w:tcPr>
          <w:p w:rsidR="00160C8F" w:rsidRPr="00160C8F" w:rsidRDefault="00160C8F" w:rsidP="00160C8F">
            <w:pPr>
              <w:jc w:val="both"/>
            </w:pPr>
            <w:r w:rsidRPr="00160C8F">
              <w:t>Sermaye Malı</w:t>
            </w:r>
          </w:p>
        </w:tc>
        <w:tc>
          <w:tcPr>
            <w:tcW w:w="2153" w:type="dxa"/>
            <w:gridSpan w:val="2"/>
            <w:noWrap/>
            <w:hideMark/>
          </w:tcPr>
          <w:p w:rsidR="00160C8F" w:rsidRPr="00160C8F" w:rsidRDefault="00923FD3" w:rsidP="00923FD3">
            <w:pPr>
              <w:jc w:val="center"/>
            </w:pPr>
            <w:r>
              <w:t>1,8</w:t>
            </w:r>
          </w:p>
        </w:tc>
        <w:tc>
          <w:tcPr>
            <w:tcW w:w="2067" w:type="dxa"/>
            <w:gridSpan w:val="2"/>
            <w:noWrap/>
            <w:hideMark/>
          </w:tcPr>
          <w:p w:rsidR="00160C8F" w:rsidRPr="00160C8F" w:rsidRDefault="00923FD3" w:rsidP="00923FD3">
            <w:pPr>
              <w:jc w:val="center"/>
            </w:pPr>
            <w:r>
              <w:t>3,5</w:t>
            </w:r>
          </w:p>
        </w:tc>
      </w:tr>
      <w:tr w:rsidR="00160C8F" w:rsidRPr="00160C8F" w:rsidTr="00DB1389">
        <w:trPr>
          <w:gridAfter w:val="1"/>
          <w:wAfter w:w="1210" w:type="dxa"/>
          <w:trHeight w:val="264"/>
        </w:trPr>
        <w:tc>
          <w:tcPr>
            <w:tcW w:w="4110" w:type="dxa"/>
            <w:noWrap/>
            <w:hideMark/>
          </w:tcPr>
          <w:p w:rsidR="00160C8F" w:rsidRPr="00160C8F" w:rsidRDefault="00160C8F" w:rsidP="00160C8F">
            <w:pPr>
              <w:jc w:val="both"/>
              <w:rPr>
                <w:b/>
              </w:rPr>
            </w:pPr>
            <w:r w:rsidRPr="00160C8F">
              <w:rPr>
                <w:b/>
              </w:rPr>
              <w:t>TOPLAM</w:t>
            </w:r>
          </w:p>
        </w:tc>
        <w:tc>
          <w:tcPr>
            <w:tcW w:w="2153" w:type="dxa"/>
            <w:gridSpan w:val="2"/>
            <w:noWrap/>
            <w:hideMark/>
          </w:tcPr>
          <w:p w:rsidR="00160C8F" w:rsidRPr="00424CC0" w:rsidRDefault="00923FD3" w:rsidP="00923FD3">
            <w:pPr>
              <w:jc w:val="center"/>
              <w:rPr>
                <w:b/>
              </w:rPr>
            </w:pPr>
            <w:r w:rsidRPr="00424CC0">
              <w:rPr>
                <w:b/>
              </w:rPr>
              <w:t>1,7</w:t>
            </w:r>
          </w:p>
        </w:tc>
        <w:tc>
          <w:tcPr>
            <w:tcW w:w="2067" w:type="dxa"/>
            <w:gridSpan w:val="2"/>
            <w:noWrap/>
            <w:hideMark/>
          </w:tcPr>
          <w:p w:rsidR="00160C8F" w:rsidRPr="00424CC0" w:rsidRDefault="00923FD3" w:rsidP="00923FD3">
            <w:pPr>
              <w:jc w:val="center"/>
              <w:rPr>
                <w:b/>
              </w:rPr>
            </w:pPr>
            <w:r w:rsidRPr="00424CC0">
              <w:rPr>
                <w:b/>
              </w:rPr>
              <w:t>2,2</w:t>
            </w:r>
          </w:p>
        </w:tc>
      </w:tr>
      <w:tr w:rsidR="00160C8F" w:rsidRPr="00160C8F" w:rsidTr="00DB1389">
        <w:trPr>
          <w:trHeight w:val="264"/>
        </w:trPr>
        <w:tc>
          <w:tcPr>
            <w:tcW w:w="5624" w:type="dxa"/>
            <w:gridSpan w:val="2"/>
            <w:noWrap/>
            <w:hideMark/>
          </w:tcPr>
          <w:p w:rsidR="00160C8F" w:rsidRPr="00160C8F" w:rsidRDefault="00160C8F" w:rsidP="00316F1D">
            <w:pPr>
              <w:jc w:val="both"/>
            </w:pPr>
            <w:r>
              <w:rPr>
                <w:b/>
              </w:rPr>
              <w:t>Tablo 2</w:t>
            </w:r>
            <w:r w:rsidRPr="00160C8F">
              <w:rPr>
                <w:b/>
              </w:rPr>
              <w:t xml:space="preserve">: Sanayi Üretim Endeksi </w:t>
            </w:r>
            <w:r>
              <w:rPr>
                <w:b/>
              </w:rPr>
              <w:t xml:space="preserve">Sektörel </w:t>
            </w:r>
            <w:r w:rsidRPr="00160C8F">
              <w:rPr>
                <w:b/>
              </w:rPr>
              <w:t>Büyüme Oranları</w:t>
            </w:r>
            <w:r>
              <w:rPr>
                <w:b/>
              </w:rPr>
              <w:t xml:space="preserve">, </w:t>
            </w:r>
            <w:r w:rsidR="00522A6C">
              <w:rPr>
                <w:b/>
              </w:rPr>
              <w:t>Eylül</w:t>
            </w:r>
            <w:r>
              <w:rPr>
                <w:b/>
              </w:rPr>
              <w:t xml:space="preserve"> 2014</w:t>
            </w:r>
            <w:r w:rsidRPr="00160C8F">
              <w:t> </w:t>
            </w:r>
          </w:p>
        </w:tc>
        <w:tc>
          <w:tcPr>
            <w:tcW w:w="1928" w:type="dxa"/>
            <w:gridSpan w:val="2"/>
            <w:noWrap/>
            <w:hideMark/>
          </w:tcPr>
          <w:p w:rsidR="00160C8F" w:rsidRPr="00160C8F" w:rsidRDefault="00160C8F" w:rsidP="00316F1D">
            <w:pPr>
              <w:jc w:val="both"/>
            </w:pPr>
            <w:r w:rsidRPr="00160C8F">
              <w:t>Önceki Aya Göre</w:t>
            </w:r>
            <w:r w:rsidR="008A575D">
              <w:t xml:space="preserve"> (%)</w:t>
            </w:r>
          </w:p>
        </w:tc>
        <w:tc>
          <w:tcPr>
            <w:tcW w:w="1988" w:type="dxa"/>
            <w:gridSpan w:val="2"/>
            <w:noWrap/>
            <w:hideMark/>
          </w:tcPr>
          <w:p w:rsidR="00160C8F" w:rsidRPr="00160C8F" w:rsidRDefault="00160C8F" w:rsidP="00316F1D">
            <w:pPr>
              <w:jc w:val="both"/>
            </w:pPr>
            <w:r w:rsidRPr="00160C8F">
              <w:t>Önceki Yıla Göre</w:t>
            </w:r>
            <w:r w:rsidR="008A575D">
              <w:t xml:space="preserve"> (%)</w:t>
            </w:r>
          </w:p>
        </w:tc>
      </w:tr>
      <w:tr w:rsidR="00160C8F" w:rsidRPr="00160C8F" w:rsidTr="00DB1389">
        <w:trPr>
          <w:trHeight w:val="264"/>
        </w:trPr>
        <w:tc>
          <w:tcPr>
            <w:tcW w:w="5624" w:type="dxa"/>
            <w:gridSpan w:val="2"/>
            <w:noWrap/>
            <w:hideMark/>
          </w:tcPr>
          <w:p w:rsidR="00160C8F" w:rsidRPr="00160C8F" w:rsidRDefault="00160C8F" w:rsidP="00160C8F">
            <w:r w:rsidRPr="00160C8F">
              <w:t xml:space="preserve">Madencilik </w:t>
            </w:r>
            <w:r>
              <w:t>v</w:t>
            </w:r>
            <w:r w:rsidRPr="00160C8F">
              <w:t>e Taşocakçılığı</w:t>
            </w:r>
          </w:p>
        </w:tc>
        <w:tc>
          <w:tcPr>
            <w:tcW w:w="1928" w:type="dxa"/>
            <w:gridSpan w:val="2"/>
            <w:noWrap/>
            <w:hideMark/>
          </w:tcPr>
          <w:p w:rsidR="00160C8F" w:rsidRPr="00160C8F" w:rsidRDefault="00424CC0" w:rsidP="008A575D">
            <w:pPr>
              <w:jc w:val="center"/>
            </w:pPr>
            <w:r>
              <w:t>2,6</w:t>
            </w:r>
          </w:p>
        </w:tc>
        <w:tc>
          <w:tcPr>
            <w:tcW w:w="1988" w:type="dxa"/>
            <w:gridSpan w:val="2"/>
            <w:noWrap/>
            <w:hideMark/>
          </w:tcPr>
          <w:p w:rsidR="00160C8F" w:rsidRPr="00160C8F" w:rsidRDefault="00424CC0" w:rsidP="008A575D">
            <w:pPr>
              <w:jc w:val="center"/>
            </w:pPr>
            <w:r>
              <w:t>8,9</w:t>
            </w:r>
          </w:p>
        </w:tc>
      </w:tr>
      <w:tr w:rsidR="00160C8F" w:rsidRPr="00160C8F" w:rsidTr="00DB1389">
        <w:trPr>
          <w:trHeight w:val="264"/>
        </w:trPr>
        <w:tc>
          <w:tcPr>
            <w:tcW w:w="5624" w:type="dxa"/>
            <w:gridSpan w:val="2"/>
            <w:noWrap/>
            <w:hideMark/>
          </w:tcPr>
          <w:p w:rsidR="00160C8F" w:rsidRPr="00160C8F" w:rsidRDefault="00160C8F" w:rsidP="00160C8F">
            <w:pPr>
              <w:jc w:val="both"/>
            </w:pPr>
            <w:r>
              <w:t>İmalat Sanayi</w:t>
            </w:r>
          </w:p>
        </w:tc>
        <w:tc>
          <w:tcPr>
            <w:tcW w:w="1928" w:type="dxa"/>
            <w:gridSpan w:val="2"/>
            <w:noWrap/>
            <w:hideMark/>
          </w:tcPr>
          <w:p w:rsidR="00160C8F" w:rsidRPr="00160C8F" w:rsidRDefault="00424CC0" w:rsidP="008A575D">
            <w:pPr>
              <w:jc w:val="center"/>
            </w:pPr>
            <w:r>
              <w:t>1,9</w:t>
            </w:r>
          </w:p>
        </w:tc>
        <w:tc>
          <w:tcPr>
            <w:tcW w:w="1988" w:type="dxa"/>
            <w:gridSpan w:val="2"/>
            <w:noWrap/>
            <w:hideMark/>
          </w:tcPr>
          <w:p w:rsidR="00160C8F" w:rsidRPr="00160C8F" w:rsidRDefault="00424CC0" w:rsidP="008A575D">
            <w:pPr>
              <w:jc w:val="center"/>
            </w:pPr>
            <w:r>
              <w:t>1,1</w:t>
            </w:r>
          </w:p>
        </w:tc>
      </w:tr>
      <w:tr w:rsidR="00160C8F" w:rsidRPr="00160C8F" w:rsidTr="00DB1389">
        <w:trPr>
          <w:trHeight w:val="264"/>
        </w:trPr>
        <w:tc>
          <w:tcPr>
            <w:tcW w:w="5624" w:type="dxa"/>
            <w:gridSpan w:val="2"/>
            <w:noWrap/>
            <w:hideMark/>
          </w:tcPr>
          <w:p w:rsidR="00160C8F" w:rsidRPr="00160C8F" w:rsidRDefault="00160C8F" w:rsidP="00160C8F">
            <w:pPr>
              <w:jc w:val="both"/>
            </w:pPr>
            <w:r w:rsidRPr="00160C8F">
              <w:t xml:space="preserve">Elektrik, Gaz, Buhar </w:t>
            </w:r>
            <w:r>
              <w:t>ve İklimlendirme Üretimi v</w:t>
            </w:r>
            <w:r w:rsidRPr="00160C8F">
              <w:t>e Dağıtımı</w:t>
            </w:r>
          </w:p>
        </w:tc>
        <w:tc>
          <w:tcPr>
            <w:tcW w:w="1928" w:type="dxa"/>
            <w:gridSpan w:val="2"/>
            <w:noWrap/>
            <w:hideMark/>
          </w:tcPr>
          <w:p w:rsidR="00160C8F" w:rsidRPr="00160C8F" w:rsidRDefault="00424CC0" w:rsidP="008A575D">
            <w:pPr>
              <w:jc w:val="center"/>
            </w:pPr>
            <w:r>
              <w:t>0,1</w:t>
            </w:r>
          </w:p>
        </w:tc>
        <w:tc>
          <w:tcPr>
            <w:tcW w:w="1988" w:type="dxa"/>
            <w:gridSpan w:val="2"/>
            <w:noWrap/>
            <w:hideMark/>
          </w:tcPr>
          <w:p w:rsidR="00160C8F" w:rsidRPr="00160C8F" w:rsidRDefault="00424CC0" w:rsidP="008A575D">
            <w:pPr>
              <w:jc w:val="center"/>
            </w:pPr>
            <w:r>
              <w:t>6,9</w:t>
            </w:r>
          </w:p>
        </w:tc>
      </w:tr>
      <w:tr w:rsidR="00160C8F" w:rsidRPr="00160C8F" w:rsidTr="00DB1389">
        <w:trPr>
          <w:trHeight w:val="264"/>
        </w:trPr>
        <w:tc>
          <w:tcPr>
            <w:tcW w:w="5624" w:type="dxa"/>
            <w:gridSpan w:val="2"/>
            <w:noWrap/>
            <w:hideMark/>
          </w:tcPr>
          <w:p w:rsidR="00160C8F" w:rsidRPr="00160C8F" w:rsidRDefault="00160C8F" w:rsidP="00316F1D">
            <w:pPr>
              <w:jc w:val="both"/>
              <w:rPr>
                <w:b/>
              </w:rPr>
            </w:pPr>
            <w:r w:rsidRPr="00160C8F">
              <w:rPr>
                <w:b/>
              </w:rPr>
              <w:t>TOPLAM</w:t>
            </w:r>
          </w:p>
        </w:tc>
        <w:tc>
          <w:tcPr>
            <w:tcW w:w="1928" w:type="dxa"/>
            <w:gridSpan w:val="2"/>
            <w:noWrap/>
            <w:hideMark/>
          </w:tcPr>
          <w:p w:rsidR="00160C8F" w:rsidRPr="00424CC0" w:rsidRDefault="00424CC0" w:rsidP="008A575D">
            <w:pPr>
              <w:jc w:val="center"/>
              <w:rPr>
                <w:b/>
              </w:rPr>
            </w:pPr>
            <w:r w:rsidRPr="00424CC0">
              <w:rPr>
                <w:b/>
              </w:rPr>
              <w:t>1,7</w:t>
            </w:r>
          </w:p>
        </w:tc>
        <w:tc>
          <w:tcPr>
            <w:tcW w:w="1988" w:type="dxa"/>
            <w:gridSpan w:val="2"/>
            <w:noWrap/>
            <w:hideMark/>
          </w:tcPr>
          <w:p w:rsidR="00160C8F" w:rsidRPr="00424CC0" w:rsidRDefault="00424CC0" w:rsidP="008A575D">
            <w:pPr>
              <w:jc w:val="center"/>
              <w:rPr>
                <w:b/>
              </w:rPr>
            </w:pPr>
            <w:r w:rsidRPr="00424CC0">
              <w:rPr>
                <w:b/>
              </w:rPr>
              <w:t>2,2</w:t>
            </w:r>
          </w:p>
        </w:tc>
      </w:tr>
    </w:tbl>
    <w:p w:rsidR="00160C8F" w:rsidRDefault="00160C8F" w:rsidP="00DB1389">
      <w:pPr>
        <w:jc w:val="both"/>
      </w:pPr>
    </w:p>
    <w:sectPr w:rsidR="00160C8F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AFA" w:rsidRDefault="00C97AFA" w:rsidP="00C04441">
      <w:pPr>
        <w:spacing w:after="0" w:line="240" w:lineRule="auto"/>
      </w:pPr>
      <w:r>
        <w:separator/>
      </w:r>
    </w:p>
  </w:endnote>
  <w:endnote w:type="continuationSeparator" w:id="0">
    <w:p w:rsidR="00C97AFA" w:rsidRDefault="00C97AFA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AFA" w:rsidRDefault="00C97AFA" w:rsidP="00C04441">
      <w:pPr>
        <w:spacing w:after="0" w:line="240" w:lineRule="auto"/>
      </w:pPr>
      <w:r>
        <w:separator/>
      </w:r>
    </w:p>
  </w:footnote>
  <w:footnote w:type="continuationSeparator" w:id="0">
    <w:p w:rsidR="00C97AFA" w:rsidRDefault="00C97AFA" w:rsidP="00C04441">
      <w:pPr>
        <w:spacing w:after="0" w:line="240" w:lineRule="auto"/>
      </w:pPr>
      <w:r>
        <w:continuationSeparator/>
      </w:r>
    </w:p>
  </w:footnote>
  <w:footnote w:id="1">
    <w:p w:rsidR="00522A6C" w:rsidRDefault="00522A6C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arındırılmış veriler kullanılmaktadır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355"/>
    <w:rsid w:val="000701FD"/>
    <w:rsid w:val="000B7EA9"/>
    <w:rsid w:val="000D18BE"/>
    <w:rsid w:val="001243A0"/>
    <w:rsid w:val="00160C8F"/>
    <w:rsid w:val="001E11A2"/>
    <w:rsid w:val="001E5A63"/>
    <w:rsid w:val="001F7633"/>
    <w:rsid w:val="00233BD5"/>
    <w:rsid w:val="002B53E4"/>
    <w:rsid w:val="002D3E19"/>
    <w:rsid w:val="00351561"/>
    <w:rsid w:val="00357954"/>
    <w:rsid w:val="003641B3"/>
    <w:rsid w:val="003A57CB"/>
    <w:rsid w:val="00424CC0"/>
    <w:rsid w:val="00432DF5"/>
    <w:rsid w:val="00517288"/>
    <w:rsid w:val="00522A6C"/>
    <w:rsid w:val="005405F5"/>
    <w:rsid w:val="00574C38"/>
    <w:rsid w:val="005C53F8"/>
    <w:rsid w:val="006020BD"/>
    <w:rsid w:val="00677B0D"/>
    <w:rsid w:val="006D41B5"/>
    <w:rsid w:val="0070186C"/>
    <w:rsid w:val="00731B2B"/>
    <w:rsid w:val="007330A1"/>
    <w:rsid w:val="007441EB"/>
    <w:rsid w:val="007736BE"/>
    <w:rsid w:val="007B58E6"/>
    <w:rsid w:val="008A575D"/>
    <w:rsid w:val="008C2C15"/>
    <w:rsid w:val="008C7F9E"/>
    <w:rsid w:val="008D1077"/>
    <w:rsid w:val="00907E0D"/>
    <w:rsid w:val="00923FD3"/>
    <w:rsid w:val="00935B34"/>
    <w:rsid w:val="009A6E86"/>
    <w:rsid w:val="009F0A83"/>
    <w:rsid w:val="009F54F1"/>
    <w:rsid w:val="00A705F6"/>
    <w:rsid w:val="00A77365"/>
    <w:rsid w:val="00AD2065"/>
    <w:rsid w:val="00BC294E"/>
    <w:rsid w:val="00BC5F10"/>
    <w:rsid w:val="00C04441"/>
    <w:rsid w:val="00C144CC"/>
    <w:rsid w:val="00C21D8B"/>
    <w:rsid w:val="00C97AFA"/>
    <w:rsid w:val="00CC7D5F"/>
    <w:rsid w:val="00D2299D"/>
    <w:rsid w:val="00D23355"/>
    <w:rsid w:val="00DB1389"/>
    <w:rsid w:val="00DC5FDC"/>
    <w:rsid w:val="00DE7934"/>
    <w:rsid w:val="00EF4E45"/>
    <w:rsid w:val="00F061D6"/>
    <w:rsid w:val="00FD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ZEN\AppData\Local\Temp\326607424649358938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ZEN\AppData\Local\Temp\458685356003294076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>
        <c:manualLayout>
          <c:layoutTarget val="inner"/>
          <c:xMode val="edge"/>
          <c:yMode val="edge"/>
          <c:x val="0.10708573928258981"/>
          <c:y val="7.0829471674892314E-2"/>
          <c:w val="0.86235870516185453"/>
          <c:h val="0.57616697434351805"/>
        </c:manualLayout>
      </c:layout>
      <c:lineChart>
        <c:grouping val="standard"/>
        <c:ser>
          <c:idx val="0"/>
          <c:order val="0"/>
          <c:tx>
            <c:strRef>
              <c:f>Sayfa1!$A$2</c:f>
              <c:strCache>
                <c:ptCount val="1"/>
                <c:pt idx="0">
                  <c:v>2013</c:v>
                </c:pt>
              </c:strCache>
            </c:strRef>
          </c:tx>
          <c:marker>
            <c:symbol val="none"/>
          </c:marker>
          <c:cat>
            <c:strRef>
              <c:f>Sayfa1!$B$1:$M$1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Sayfa1!$B$2:$M$2</c:f>
              <c:numCache>
                <c:formatCode>0.0</c:formatCode>
                <c:ptCount val="12"/>
                <c:pt idx="0">
                  <c:v>113.03610920938436</c:v>
                </c:pt>
                <c:pt idx="1">
                  <c:v>115.16447528882033</c:v>
                </c:pt>
                <c:pt idx="2">
                  <c:v>115.0010628415137</c:v>
                </c:pt>
                <c:pt idx="3">
                  <c:v>115.39143419537379</c:v>
                </c:pt>
                <c:pt idx="4">
                  <c:v>114.79385666909299</c:v>
                </c:pt>
                <c:pt idx="5">
                  <c:v>117.53923941978698</c:v>
                </c:pt>
                <c:pt idx="6">
                  <c:v>117.51932435304242</c:v>
                </c:pt>
                <c:pt idx="7">
                  <c:v>114.49889812632154</c:v>
                </c:pt>
                <c:pt idx="8">
                  <c:v>120.10751567837198</c:v>
                </c:pt>
                <c:pt idx="9">
                  <c:v>116.74389652138262</c:v>
                </c:pt>
                <c:pt idx="10">
                  <c:v>119.12824838454662</c:v>
                </c:pt>
                <c:pt idx="11">
                  <c:v>119.17481112513818</c:v>
                </c:pt>
              </c:numCache>
            </c:numRef>
          </c:val>
        </c:ser>
        <c:ser>
          <c:idx val="1"/>
          <c:order val="1"/>
          <c:tx>
            <c:strRef>
              <c:f>Sayfa1!$A$3</c:f>
              <c:strCache>
                <c:ptCount val="1"/>
                <c:pt idx="0">
                  <c:v>2014</c:v>
                </c:pt>
              </c:strCache>
            </c:strRef>
          </c:tx>
          <c:marker>
            <c:symbol val="none"/>
          </c:marker>
          <c:cat>
            <c:strRef>
              <c:f>Sayfa1!$B$1:$M$1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Sayfa1!$B$3:$M$3</c:f>
              <c:numCache>
                <c:formatCode>0.0</c:formatCode>
                <c:ptCount val="12"/>
                <c:pt idx="0">
                  <c:v>120.22007638853144</c:v>
                </c:pt>
                <c:pt idx="1">
                  <c:v>119.75265276809027</c:v>
                </c:pt>
                <c:pt idx="2">
                  <c:v>119.28371803366483</c:v>
                </c:pt>
                <c:pt idx="3">
                  <c:v>120.46073418919985</c:v>
                </c:pt>
                <c:pt idx="4">
                  <c:v>119.26670220350351</c:v>
                </c:pt>
                <c:pt idx="5">
                  <c:v>119.94015135365228</c:v>
                </c:pt>
                <c:pt idx="6">
                  <c:v>121.83021993557986</c:v>
                </c:pt>
                <c:pt idx="7">
                  <c:v>120.54206489850958</c:v>
                </c:pt>
                <c:pt idx="8">
                  <c:v>122.62735741123875</c:v>
                </c:pt>
              </c:numCache>
            </c:numRef>
          </c:val>
        </c:ser>
        <c:marker val="1"/>
        <c:axId val="69350528"/>
        <c:axId val="72932352"/>
      </c:lineChart>
      <c:catAx>
        <c:axId val="69350528"/>
        <c:scaling>
          <c:orientation val="minMax"/>
        </c:scaling>
        <c:axPos val="b"/>
        <c:numFmt formatCode="General" sourceLinked="1"/>
        <c:tickLblPos val="nextTo"/>
        <c:crossAx val="72932352"/>
        <c:crosses val="autoZero"/>
        <c:auto val="1"/>
        <c:lblAlgn val="ctr"/>
        <c:lblOffset val="100"/>
      </c:catAx>
      <c:valAx>
        <c:axId val="72932352"/>
        <c:scaling>
          <c:orientation val="minMax"/>
          <c:max val="130"/>
          <c:min val="100"/>
        </c:scaling>
        <c:axPos val="l"/>
        <c:numFmt formatCode="0.0" sourceLinked="1"/>
        <c:tickLblPos val="nextTo"/>
        <c:crossAx val="693505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5240004374453221"/>
          <c:y val="0.88463851109520408"/>
          <c:w val="0.29519991251093614"/>
          <c:h val="0.11536148890479593"/>
        </c:manualLayout>
      </c:layout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>
        <c:manualLayout>
          <c:layoutTarget val="inner"/>
          <c:xMode val="edge"/>
          <c:yMode val="edge"/>
          <c:x val="0.10708573928258981"/>
          <c:y val="6.1938743012771941E-2"/>
          <c:w val="0.86235870516185453"/>
          <c:h val="0.61821017142731638"/>
        </c:manualLayout>
      </c:layout>
      <c:lineChart>
        <c:grouping val="standard"/>
        <c:ser>
          <c:idx val="0"/>
          <c:order val="0"/>
          <c:tx>
            <c:strRef>
              <c:f>Sayfa1!$B$2</c:f>
              <c:strCache>
                <c:ptCount val="1"/>
                <c:pt idx="0">
                  <c:v>2013</c:v>
                </c:pt>
              </c:strCache>
            </c:strRef>
          </c:tx>
          <c:marker>
            <c:symbol val="none"/>
          </c:marker>
          <c:cat>
            <c:strRef>
              <c:f>Sayfa1!$C$1:$N$1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Sayfa1!$C$2:$N$2</c:f>
              <c:numCache>
                <c:formatCode>0.0</c:formatCode>
                <c:ptCount val="12"/>
                <c:pt idx="0">
                  <c:v>104.71360380501145</c:v>
                </c:pt>
                <c:pt idx="1">
                  <c:v>103.86259484211507</c:v>
                </c:pt>
                <c:pt idx="2">
                  <c:v>115.87013198518395</c:v>
                </c:pt>
                <c:pt idx="3">
                  <c:v>113.53028449098096</c:v>
                </c:pt>
                <c:pt idx="4">
                  <c:v>118.52980823400419</c:v>
                </c:pt>
                <c:pt idx="5">
                  <c:v>120.19007117614088</c:v>
                </c:pt>
                <c:pt idx="6">
                  <c:v>120.17611343712204</c:v>
                </c:pt>
                <c:pt idx="7">
                  <c:v>108.74872239378406</c:v>
                </c:pt>
                <c:pt idx="8">
                  <c:v>123.18242696863344</c:v>
                </c:pt>
                <c:pt idx="9">
                  <c:v>121.74675160349818</c:v>
                </c:pt>
                <c:pt idx="10">
                  <c:v>123.87795217060683</c:v>
                </c:pt>
                <c:pt idx="11">
                  <c:v>124.02635774026948</c:v>
                </c:pt>
              </c:numCache>
            </c:numRef>
          </c:val>
        </c:ser>
        <c:ser>
          <c:idx val="1"/>
          <c:order val="1"/>
          <c:tx>
            <c:strRef>
              <c:f>Sayfa1!$B$3</c:f>
              <c:strCache>
                <c:ptCount val="1"/>
                <c:pt idx="0">
                  <c:v>2014</c:v>
                </c:pt>
              </c:strCache>
            </c:strRef>
          </c:tx>
          <c:marker>
            <c:symbol val="none"/>
          </c:marker>
          <c:cat>
            <c:strRef>
              <c:f>Sayfa1!$C$1:$N$1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Sayfa1!$C$3:$N$3</c:f>
              <c:numCache>
                <c:formatCode>0.0</c:formatCode>
                <c:ptCount val="12"/>
                <c:pt idx="0">
                  <c:v>112.19033337623404</c:v>
                </c:pt>
                <c:pt idx="1">
                  <c:v>108.65587130914766</c:v>
                </c:pt>
                <c:pt idx="2">
                  <c:v>120.70361093945633</c:v>
                </c:pt>
                <c:pt idx="3">
                  <c:v>118.69980242587819</c:v>
                </c:pt>
                <c:pt idx="4">
                  <c:v>122.69534460671146</c:v>
                </c:pt>
                <c:pt idx="5">
                  <c:v>122.10148688357876</c:v>
                </c:pt>
                <c:pt idx="6">
                  <c:v>124.52257703375858</c:v>
                </c:pt>
                <c:pt idx="7">
                  <c:v>114.38223020079403</c:v>
                </c:pt>
                <c:pt idx="8">
                  <c:v>125.85507185432851</c:v>
                </c:pt>
              </c:numCache>
            </c:numRef>
          </c:val>
        </c:ser>
        <c:marker val="1"/>
        <c:axId val="87164416"/>
        <c:axId val="87166336"/>
      </c:lineChart>
      <c:catAx>
        <c:axId val="87164416"/>
        <c:scaling>
          <c:orientation val="minMax"/>
        </c:scaling>
        <c:axPos val="b"/>
        <c:tickLblPos val="nextTo"/>
        <c:crossAx val="87166336"/>
        <c:crosses val="autoZero"/>
        <c:auto val="1"/>
        <c:lblAlgn val="ctr"/>
        <c:lblOffset val="100"/>
      </c:catAx>
      <c:valAx>
        <c:axId val="87166336"/>
        <c:scaling>
          <c:orientation val="minMax"/>
          <c:min val="100"/>
        </c:scaling>
        <c:axPos val="l"/>
        <c:numFmt formatCode="0.0" sourceLinked="1"/>
        <c:tickLblPos val="nextTo"/>
        <c:crossAx val="871644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5240004374453221"/>
          <c:y val="0.89911903271505289"/>
          <c:w val="0.29519991251093614"/>
          <c:h val="0.10088096728494704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7EEE5-8DC9-45F6-8AFA-8B9E3324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ZEN 17</cp:lastModifiedBy>
  <cp:revision>3</cp:revision>
  <dcterms:created xsi:type="dcterms:W3CDTF">2014-11-10T12:11:00Z</dcterms:created>
  <dcterms:modified xsi:type="dcterms:W3CDTF">2014-11-10T12:39:00Z</dcterms:modified>
</cp:coreProperties>
</file>